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FBA6CA7" w14:textId="0086C74A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(a)</w:t>
      </w:r>
      <w:r w:rsidRPr="00BA77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&amp; (c) </w:t>
      </w:r>
      <w:r w:rsidRPr="00BA77BB">
        <w:rPr>
          <w:rFonts w:ascii="Book Antiqua" w:hAnsi="Book Antiqua"/>
        </w:rPr>
        <w:t xml:space="preserve">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894907" w:rsidRPr="00BA77BB" w:rsidRDefault="00894907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1440"/>
        <w:gridCol w:w="1980"/>
        <w:gridCol w:w="2250"/>
      </w:tblGrid>
      <w:tr w:rsidR="00B07985" w:rsidRPr="00BA77BB" w14:paraId="26304A5F" w14:textId="77777777" w:rsidTr="009A4B1F">
        <w:tc>
          <w:tcPr>
            <w:tcW w:w="900" w:type="dxa"/>
            <w:shd w:val="clear" w:color="auto" w:fill="auto"/>
          </w:tcPr>
          <w:p w14:paraId="07AA88A1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1440" w:type="dxa"/>
            <w:shd w:val="clear" w:color="auto" w:fill="auto"/>
          </w:tcPr>
          <w:p w14:paraId="5084F7AC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1980" w:type="dxa"/>
          </w:tcPr>
          <w:p w14:paraId="181E5B1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Annual Turnover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5F99B136" w14:textId="77777777" w:rsidR="00B07985" w:rsidRPr="00BA77BB" w:rsidRDefault="00B07985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B07985" w:rsidRPr="00BA77BB" w14:paraId="39F48A3B" w14:textId="77777777" w:rsidTr="009A4B1F">
        <w:tc>
          <w:tcPr>
            <w:tcW w:w="900" w:type="dxa"/>
            <w:shd w:val="clear" w:color="auto" w:fill="auto"/>
          </w:tcPr>
          <w:p w14:paraId="25A1EB9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1440" w:type="dxa"/>
            <w:shd w:val="clear" w:color="auto" w:fill="auto"/>
          </w:tcPr>
          <w:p w14:paraId="48BEAC20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55DE22E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45ED4172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3BD6E6D4" w14:textId="77777777" w:rsidTr="009A4B1F">
        <w:tc>
          <w:tcPr>
            <w:tcW w:w="900" w:type="dxa"/>
            <w:shd w:val="clear" w:color="auto" w:fill="auto"/>
          </w:tcPr>
          <w:p w14:paraId="7567CEC6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1440" w:type="dxa"/>
            <w:shd w:val="clear" w:color="auto" w:fill="auto"/>
          </w:tcPr>
          <w:p w14:paraId="520D4B8B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6317FF8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2AB34E7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7D6BB874" w14:textId="77777777" w:rsidTr="009A4B1F">
        <w:tc>
          <w:tcPr>
            <w:tcW w:w="900" w:type="dxa"/>
            <w:shd w:val="clear" w:color="auto" w:fill="auto"/>
          </w:tcPr>
          <w:p w14:paraId="3E622F8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2019-20</w:t>
            </w:r>
          </w:p>
        </w:tc>
        <w:tc>
          <w:tcPr>
            <w:tcW w:w="1440" w:type="dxa"/>
            <w:shd w:val="clear" w:color="auto" w:fill="auto"/>
          </w:tcPr>
          <w:p w14:paraId="0C5357E4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745F7B2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0E0553C7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(2021-22)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(2020-21)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(2019-20)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3CB204F6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iCs/>
        </w:rPr>
        <w:t>4.3</w:t>
      </w:r>
      <w:r w:rsidRPr="00B07985">
        <w:rPr>
          <w:rFonts w:ascii="Book Antiqua" w:hAnsi="Book Antiqua"/>
          <w:iCs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(b)</w:t>
      </w:r>
      <w:r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evidence, as per the following</w:t>
      </w:r>
      <w:r>
        <w:rPr>
          <w:rFonts w:ascii="Book Antiqua" w:hAnsi="Book Antiqua"/>
        </w:rPr>
        <w:t>:</w:t>
      </w:r>
    </w:p>
    <w:p w14:paraId="14751FAC" w14:textId="77777777" w:rsidR="00B07985" w:rsidRP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714"/>
        <w:gridCol w:w="3071"/>
        <w:gridCol w:w="2693"/>
      </w:tblGrid>
      <w:tr w:rsidR="00B07985" w:rsidRPr="00B07985" w14:paraId="74C03903" w14:textId="77777777" w:rsidTr="00894907">
        <w:tc>
          <w:tcPr>
            <w:tcW w:w="2714" w:type="dxa"/>
          </w:tcPr>
          <w:p w14:paraId="6C4CB5D7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071" w:type="dxa"/>
          </w:tcPr>
          <w:p w14:paraId="55E8E753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 w:rsidR="00F05086"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2693" w:type="dxa"/>
          </w:tcPr>
          <w:p w14:paraId="62FF3C7B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B07985" w14:paraId="276718B1" w14:textId="77777777" w:rsidTr="00894907">
        <w:tc>
          <w:tcPr>
            <w:tcW w:w="2714" w:type="dxa"/>
          </w:tcPr>
          <w:p w14:paraId="0D580B6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071" w:type="dxa"/>
          </w:tcPr>
          <w:p w14:paraId="05B908EB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2697C4D6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1C8CA466" w14:textId="77777777" w:rsidTr="00894907">
        <w:tc>
          <w:tcPr>
            <w:tcW w:w="2714" w:type="dxa"/>
          </w:tcPr>
          <w:p w14:paraId="392AF4B3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071" w:type="dxa"/>
          </w:tcPr>
          <w:p w14:paraId="3FFA4BE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003F6ED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31C52EBD" w14:textId="77777777" w:rsidTr="00894907">
        <w:tc>
          <w:tcPr>
            <w:tcW w:w="2714" w:type="dxa"/>
          </w:tcPr>
          <w:p w14:paraId="5A8B928E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2019-20</w:t>
            </w:r>
          </w:p>
        </w:tc>
        <w:tc>
          <w:tcPr>
            <w:tcW w:w="3071" w:type="dxa"/>
          </w:tcPr>
          <w:p w14:paraId="37822DF9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182A81E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749EE39F" w14:textId="77777777" w:rsidR="00B07985" w:rsidRDefault="00B07985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E8F383C" w14:textId="52E0C8F8" w:rsidR="00214489" w:rsidRPr="00894907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  <w:r w:rsidRPr="00894907">
        <w:rPr>
          <w:rFonts w:ascii="Book Antiqua" w:hAnsi="Book Antiqua" w:cs="Arial"/>
          <w:bCs/>
          <w:iCs/>
        </w:rPr>
        <w:t>Note</w:t>
      </w:r>
      <w:r w:rsidR="00894907" w:rsidRPr="00894907">
        <w:rPr>
          <w:rFonts w:ascii="Book Antiqua" w:hAnsi="Book Antiqua" w:cs="Arial"/>
          <w:bCs/>
          <w:iCs/>
        </w:rPr>
        <w:t>:</w:t>
      </w:r>
      <w:r w:rsidRPr="00894907">
        <w:rPr>
          <w:rFonts w:ascii="Book Antiqua" w:hAnsi="Book Antiqua" w:cs="Arial"/>
          <w:bCs/>
          <w:iCs/>
        </w:rPr>
        <w:t xml:space="preserve"> </w:t>
      </w:r>
      <w:r w:rsidR="00894907"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 w:rsidR="001F456E">
        <w:rPr>
          <w:rFonts w:ascii="Book Antiqua" w:hAnsi="Book Antiqua"/>
          <w:bCs/>
          <w:lang w:bidi="hi-IN"/>
        </w:rPr>
        <w:t>2</w:t>
      </w:r>
      <w:r w:rsidR="00894907" w:rsidRPr="00894907">
        <w:rPr>
          <w:rFonts w:ascii="Book Antiqua" w:hAnsi="Book Antiqua"/>
          <w:bCs/>
          <w:lang w:bidi="hi-IN"/>
        </w:rPr>
        <w:t>” provided in Section-V of Bidding Document from its Statutory Auditors</w:t>
      </w:r>
      <w:r w:rsidR="00CF7812">
        <w:rPr>
          <w:rFonts w:ascii="Book Antiqua" w:hAnsi="Book Antiqua"/>
          <w:bCs/>
          <w:lang w:bidi="hi-IN"/>
        </w:rPr>
        <w:t>/</w:t>
      </w:r>
      <w:r w:rsidR="00CF7812" w:rsidRPr="00CF7812">
        <w:rPr>
          <w:rFonts w:ascii="Book Antiqua" w:hAnsi="Book Antiqua"/>
          <w:bCs/>
          <w:lang w:bidi="hi-IN"/>
        </w:rPr>
        <w:t>Charted Accountant</w:t>
      </w:r>
      <w:r w:rsidR="00894907" w:rsidRPr="00894907">
        <w:rPr>
          <w:rFonts w:ascii="Book Antiqua" w:hAnsi="Book Antiqua"/>
          <w:bCs/>
          <w:lang w:bidi="hi-IN"/>
        </w:rPr>
        <w:t xml:space="preserve">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276D17CF" w14:textId="77777777" w:rsidR="00214489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F373B04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24DFC1A0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3713E14E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12FA6A8" w14:textId="77777777" w:rsidR="00894907" w:rsidRPr="00BA77BB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B7903" w14:textId="77777777" w:rsidR="001E5AA7" w:rsidRDefault="001E5AA7" w:rsidP="00020CAA">
      <w:r>
        <w:separator/>
      </w:r>
    </w:p>
  </w:endnote>
  <w:endnote w:type="continuationSeparator" w:id="0">
    <w:p w14:paraId="2F38A434" w14:textId="77777777" w:rsidR="001E5AA7" w:rsidRDefault="001E5AA7" w:rsidP="0002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2AA80" w14:textId="77777777" w:rsidR="001E5AA7" w:rsidRDefault="001E5AA7" w:rsidP="00020CAA">
      <w:r>
        <w:separator/>
      </w:r>
    </w:p>
  </w:footnote>
  <w:footnote w:type="continuationSeparator" w:id="0">
    <w:p w14:paraId="329D996A" w14:textId="77777777" w:rsidR="001E5AA7" w:rsidRDefault="001E5AA7" w:rsidP="00020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7335661">
    <w:abstractNumId w:val="6"/>
  </w:num>
  <w:num w:numId="2" w16cid:durableId="223374053">
    <w:abstractNumId w:val="8"/>
  </w:num>
  <w:num w:numId="3" w16cid:durableId="70280509">
    <w:abstractNumId w:val="14"/>
  </w:num>
  <w:num w:numId="4" w16cid:durableId="584994540">
    <w:abstractNumId w:val="9"/>
  </w:num>
  <w:num w:numId="5" w16cid:durableId="1717510985">
    <w:abstractNumId w:val="15"/>
  </w:num>
  <w:num w:numId="6" w16cid:durableId="1358387296">
    <w:abstractNumId w:val="0"/>
  </w:num>
  <w:num w:numId="7" w16cid:durableId="2141726330">
    <w:abstractNumId w:val="16"/>
  </w:num>
  <w:num w:numId="8" w16cid:durableId="1608850229">
    <w:abstractNumId w:val="5"/>
  </w:num>
  <w:num w:numId="9" w16cid:durableId="1268271138">
    <w:abstractNumId w:val="4"/>
  </w:num>
  <w:num w:numId="10" w16cid:durableId="968245765">
    <w:abstractNumId w:val="13"/>
  </w:num>
  <w:num w:numId="11" w16cid:durableId="1303844855">
    <w:abstractNumId w:val="11"/>
  </w:num>
  <w:num w:numId="12" w16cid:durableId="2093771972">
    <w:abstractNumId w:val="17"/>
  </w:num>
  <w:num w:numId="13" w16cid:durableId="592781942">
    <w:abstractNumId w:val="2"/>
  </w:num>
  <w:num w:numId="14" w16cid:durableId="1903249127">
    <w:abstractNumId w:val="12"/>
  </w:num>
  <w:num w:numId="15" w16cid:durableId="782841276">
    <w:abstractNumId w:val="1"/>
  </w:num>
  <w:num w:numId="16" w16cid:durableId="259879265">
    <w:abstractNumId w:val="3"/>
  </w:num>
  <w:num w:numId="17" w16cid:durableId="1281375105">
    <w:abstractNumId w:val="7"/>
  </w:num>
  <w:num w:numId="18" w16cid:durableId="17620262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C06F6"/>
    <w:rsid w:val="001E5AA7"/>
    <w:rsid w:val="001E5D39"/>
    <w:rsid w:val="001F456E"/>
    <w:rsid w:val="00200552"/>
    <w:rsid w:val="00214489"/>
    <w:rsid w:val="00215FC9"/>
    <w:rsid w:val="00246F9E"/>
    <w:rsid w:val="002520EA"/>
    <w:rsid w:val="00324E50"/>
    <w:rsid w:val="00332B86"/>
    <w:rsid w:val="00424E42"/>
    <w:rsid w:val="00495C2E"/>
    <w:rsid w:val="004E4D12"/>
    <w:rsid w:val="004F46F9"/>
    <w:rsid w:val="005047A5"/>
    <w:rsid w:val="0052714E"/>
    <w:rsid w:val="0058008A"/>
    <w:rsid w:val="00583E00"/>
    <w:rsid w:val="005A204B"/>
    <w:rsid w:val="005B0A5E"/>
    <w:rsid w:val="005E2641"/>
    <w:rsid w:val="005F0029"/>
    <w:rsid w:val="005F73E9"/>
    <w:rsid w:val="006623CC"/>
    <w:rsid w:val="00671160"/>
    <w:rsid w:val="0075585B"/>
    <w:rsid w:val="00780282"/>
    <w:rsid w:val="00894907"/>
    <w:rsid w:val="008D331E"/>
    <w:rsid w:val="008D4DC9"/>
    <w:rsid w:val="008F3CF9"/>
    <w:rsid w:val="0090079D"/>
    <w:rsid w:val="009456FA"/>
    <w:rsid w:val="00970DEB"/>
    <w:rsid w:val="009A1294"/>
    <w:rsid w:val="009E3A78"/>
    <w:rsid w:val="00A52061"/>
    <w:rsid w:val="00A63E58"/>
    <w:rsid w:val="00B07985"/>
    <w:rsid w:val="00BA49AA"/>
    <w:rsid w:val="00BA77BB"/>
    <w:rsid w:val="00BB5BAD"/>
    <w:rsid w:val="00BC4276"/>
    <w:rsid w:val="00BE4623"/>
    <w:rsid w:val="00C11B27"/>
    <w:rsid w:val="00C2290C"/>
    <w:rsid w:val="00CB13BD"/>
    <w:rsid w:val="00CC5E6F"/>
    <w:rsid w:val="00CF7812"/>
    <w:rsid w:val="00D0037D"/>
    <w:rsid w:val="00D302E1"/>
    <w:rsid w:val="00DB4AFE"/>
    <w:rsid w:val="00DE28E5"/>
    <w:rsid w:val="00E221F8"/>
    <w:rsid w:val="00E33FDA"/>
    <w:rsid w:val="00E53229"/>
    <w:rsid w:val="00E74C2B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Virendra . {वीरेंद्र}</cp:lastModifiedBy>
  <cp:revision>39</cp:revision>
  <cp:lastPrinted>2022-09-23T07:27:00Z</cp:lastPrinted>
  <dcterms:created xsi:type="dcterms:W3CDTF">2021-09-22T10:22:00Z</dcterms:created>
  <dcterms:modified xsi:type="dcterms:W3CDTF">2023-04-13T06:32:00Z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