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5877" w:type="dxa"/>
        <w:tblInd w:w="-714" w:type="dxa"/>
        <w:tblLayout w:type="fixed"/>
        <w:tblLook w:val="04A0" w:firstRow="1" w:lastRow="0" w:firstColumn="1" w:lastColumn="0" w:noHBand="0" w:noVBand="1"/>
      </w:tblPr>
      <w:tblGrid>
        <w:gridCol w:w="656"/>
        <w:gridCol w:w="1896"/>
        <w:gridCol w:w="6662"/>
        <w:gridCol w:w="6663"/>
      </w:tblGrid>
      <w:tr w:rsidR="004D497B" w:rsidRPr="00182D40" w14:paraId="6F5C5850" w14:textId="77777777" w:rsidTr="004E5210">
        <w:tc>
          <w:tcPr>
            <w:tcW w:w="656" w:type="dxa"/>
          </w:tcPr>
          <w:p w14:paraId="35558250" w14:textId="77777777" w:rsidR="004D497B" w:rsidRPr="00182D40" w:rsidRDefault="004D497B">
            <w:pPr>
              <w:rPr>
                <w:rFonts w:ascii="Book Antiqua" w:hAnsi="Book Antiqua"/>
                <w:b/>
                <w:bCs/>
              </w:rPr>
            </w:pPr>
            <w:r w:rsidRPr="00182D40">
              <w:rPr>
                <w:rFonts w:ascii="Book Antiqua" w:hAnsi="Book Antiqua"/>
                <w:b/>
                <w:bCs/>
              </w:rPr>
              <w:t>Sl. No.</w:t>
            </w:r>
          </w:p>
        </w:tc>
        <w:tc>
          <w:tcPr>
            <w:tcW w:w="1896" w:type="dxa"/>
          </w:tcPr>
          <w:p w14:paraId="2C7510FA" w14:textId="77777777" w:rsidR="004D497B" w:rsidRPr="00182D40" w:rsidRDefault="004D497B">
            <w:pPr>
              <w:rPr>
                <w:rFonts w:ascii="Book Antiqua" w:hAnsi="Book Antiqua"/>
                <w:b/>
                <w:bCs/>
              </w:rPr>
            </w:pPr>
            <w:r w:rsidRPr="00182D40">
              <w:rPr>
                <w:rFonts w:ascii="Book Antiqua" w:hAnsi="Book Antiqua"/>
                <w:b/>
                <w:bCs/>
              </w:rPr>
              <w:t>Clause ref.</w:t>
            </w:r>
          </w:p>
        </w:tc>
        <w:tc>
          <w:tcPr>
            <w:tcW w:w="6662" w:type="dxa"/>
          </w:tcPr>
          <w:p w14:paraId="22191F76" w14:textId="77777777" w:rsidR="004D497B" w:rsidRPr="00182D40" w:rsidRDefault="004D497B">
            <w:pPr>
              <w:rPr>
                <w:rFonts w:ascii="Book Antiqua" w:hAnsi="Book Antiqua"/>
                <w:b/>
                <w:bCs/>
              </w:rPr>
            </w:pPr>
            <w:r w:rsidRPr="00182D40">
              <w:rPr>
                <w:rFonts w:ascii="Book Antiqua" w:hAnsi="Book Antiqua"/>
                <w:b/>
                <w:bCs/>
              </w:rPr>
              <w:t>Existing Clause</w:t>
            </w:r>
          </w:p>
        </w:tc>
        <w:tc>
          <w:tcPr>
            <w:tcW w:w="6663" w:type="dxa"/>
          </w:tcPr>
          <w:p w14:paraId="38D8C723" w14:textId="77777777" w:rsidR="004D497B" w:rsidRPr="00182D40" w:rsidRDefault="004D497B">
            <w:pPr>
              <w:rPr>
                <w:rFonts w:ascii="Book Antiqua" w:hAnsi="Book Antiqua"/>
                <w:b/>
                <w:bCs/>
              </w:rPr>
            </w:pPr>
            <w:r w:rsidRPr="00182D40">
              <w:rPr>
                <w:rFonts w:ascii="Book Antiqua" w:hAnsi="Book Antiqua"/>
                <w:b/>
                <w:bCs/>
              </w:rPr>
              <w:t xml:space="preserve">Amended as </w:t>
            </w:r>
          </w:p>
        </w:tc>
      </w:tr>
      <w:tr w:rsidR="004D497B" w:rsidRPr="00182D40" w14:paraId="26792AB4" w14:textId="77777777" w:rsidTr="004E5210">
        <w:tc>
          <w:tcPr>
            <w:tcW w:w="656" w:type="dxa"/>
          </w:tcPr>
          <w:p w14:paraId="44B4E3A8" w14:textId="77777777" w:rsidR="004D497B" w:rsidRPr="00182D40" w:rsidRDefault="005E6ECF">
            <w:pPr>
              <w:rPr>
                <w:rFonts w:ascii="Book Antiqua" w:hAnsi="Book Antiqua"/>
              </w:rPr>
            </w:pPr>
            <w:r w:rsidRPr="00182D40">
              <w:rPr>
                <w:rFonts w:ascii="Book Antiqua" w:hAnsi="Book Antiqua"/>
              </w:rPr>
              <w:t>1</w:t>
            </w:r>
            <w:r w:rsidR="004D497B" w:rsidRPr="00182D40">
              <w:rPr>
                <w:rFonts w:ascii="Book Antiqua" w:hAnsi="Book Antiqua"/>
              </w:rPr>
              <w:t>.</w:t>
            </w:r>
          </w:p>
        </w:tc>
        <w:tc>
          <w:tcPr>
            <w:tcW w:w="1896" w:type="dxa"/>
          </w:tcPr>
          <w:p w14:paraId="6A8E81C4" w14:textId="14475906" w:rsidR="004D497B" w:rsidRPr="00182D40" w:rsidRDefault="004D497B" w:rsidP="00CC3F85">
            <w:pPr>
              <w:jc w:val="both"/>
              <w:rPr>
                <w:rFonts w:ascii="Book Antiqua" w:hAnsi="Book Antiqua"/>
              </w:rPr>
            </w:pPr>
            <w:r w:rsidRPr="00182D40">
              <w:rPr>
                <w:rFonts w:ascii="Book Antiqua" w:hAnsi="Book Antiqua"/>
              </w:rPr>
              <w:t xml:space="preserve">Sub-Clause </w:t>
            </w:r>
            <w:r w:rsidR="002B088A">
              <w:rPr>
                <w:rFonts w:ascii="Book Antiqua" w:hAnsi="Book Antiqua"/>
              </w:rPr>
              <w:t>16.3</w:t>
            </w:r>
            <w:r w:rsidRPr="00182D40">
              <w:rPr>
                <w:rFonts w:ascii="Book Antiqua" w:hAnsi="Book Antiqua"/>
              </w:rPr>
              <w:t xml:space="preserve">, Section-III of </w:t>
            </w:r>
            <w:proofErr w:type="spellStart"/>
            <w:r w:rsidRPr="00182D40">
              <w:rPr>
                <w:rFonts w:ascii="Book Antiqua" w:hAnsi="Book Antiqua"/>
              </w:rPr>
              <w:t>RfP</w:t>
            </w:r>
            <w:proofErr w:type="spellEnd"/>
            <w:r w:rsidRPr="00182D40">
              <w:rPr>
                <w:rFonts w:ascii="Book Antiqua" w:hAnsi="Book Antiqua"/>
              </w:rPr>
              <w:t xml:space="preserve"> Document</w:t>
            </w:r>
          </w:p>
        </w:tc>
        <w:tc>
          <w:tcPr>
            <w:tcW w:w="6662" w:type="dxa"/>
          </w:tcPr>
          <w:p w14:paraId="0557FC1D" w14:textId="77777777" w:rsidR="002B088A" w:rsidRPr="006C2379" w:rsidRDefault="002B088A" w:rsidP="002B088A">
            <w:pPr>
              <w:ind w:left="181"/>
              <w:jc w:val="both"/>
              <w:rPr>
                <w:rFonts w:ascii="Book Antiqua" w:hAnsi="Book Antiqua" w:cs="Arial"/>
              </w:rPr>
            </w:pPr>
            <w:r w:rsidRPr="00FC0343">
              <w:rPr>
                <w:rFonts w:ascii="Book Antiqua" w:hAnsi="Book Antiqua" w:cs="Arial"/>
              </w:rPr>
              <w:t xml:space="preserve">Notwithstanding above, the Employer may, at its discretion, extend the deadline for submission of soft part of the </w:t>
            </w:r>
            <w:r>
              <w:rPr>
                <w:rFonts w:ascii="Book Antiqua" w:hAnsi="Book Antiqua" w:cs="Arial"/>
              </w:rPr>
              <w:t>proposals</w:t>
            </w:r>
            <w:r w:rsidRPr="00FC0343">
              <w:rPr>
                <w:rFonts w:ascii="Book Antiqua" w:hAnsi="Book Antiqua" w:cs="Arial"/>
              </w:rPr>
              <w:t xml:space="preserve"> from </w:t>
            </w:r>
            <w:r w:rsidRPr="006C2379">
              <w:rPr>
                <w:rStyle w:val="Hyperlink"/>
                <w:rFonts w:ascii="Book Antiqua" w:eastAsia="Batang" w:hAnsi="Book Antiqua" w:cs="Arial"/>
              </w:rPr>
              <w:t xml:space="preserve">1100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 to 1500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w:t>
            </w:r>
            <w:r w:rsidRPr="006C2379">
              <w:rPr>
                <w:rFonts w:ascii="Book Antiqua" w:hAnsi="Book Antiqua" w:cs="Arial"/>
              </w:rPr>
              <w:t xml:space="preserve"> on the same day in case the bidder(s) faces difficulty in submission of </w:t>
            </w:r>
            <w:r>
              <w:rPr>
                <w:rFonts w:ascii="Book Antiqua" w:hAnsi="Book Antiqua" w:cs="Arial"/>
              </w:rPr>
              <w:t>proposals</w:t>
            </w:r>
            <w:r w:rsidRPr="006C2379">
              <w:rPr>
                <w:rFonts w:ascii="Book Antiqua" w:hAnsi="Book Antiqua" w:cs="Arial"/>
              </w:rPr>
              <w:t xml:space="preserve"> on the e-Procurement Portal even for reasons not attributable to the Portal’s server. In such a case, the bidder(s) shall however, be required to send a written communication on the e-mail IDs mentioned below for the purpose before the deadline for submission of soft part of the </w:t>
            </w:r>
            <w:r>
              <w:rPr>
                <w:rFonts w:ascii="Book Antiqua" w:hAnsi="Book Antiqua" w:cs="Arial"/>
              </w:rPr>
              <w:t>proposals</w:t>
            </w:r>
            <w:r w:rsidRPr="006C2379">
              <w:rPr>
                <w:rFonts w:ascii="Book Antiqua" w:hAnsi="Book Antiqua" w:cs="Arial"/>
              </w:rPr>
              <w:t xml:space="preserve"> i.e. </w:t>
            </w:r>
            <w:r w:rsidRPr="006C2379">
              <w:rPr>
                <w:rStyle w:val="Hyperlink"/>
                <w:rFonts w:ascii="Book Antiqua" w:eastAsia="Batang" w:hAnsi="Book Antiqua" w:cs="Arial"/>
              </w:rPr>
              <w:t xml:space="preserve">1100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w:t>
            </w:r>
            <w:r w:rsidRPr="006C2379">
              <w:rPr>
                <w:rFonts w:ascii="Book Antiqua" w:hAnsi="Book Antiqua" w:cs="Arial"/>
              </w:rPr>
              <w:t xml:space="preserve"> on</w:t>
            </w:r>
            <w:r w:rsidRPr="00FC0343">
              <w:rPr>
                <w:rFonts w:ascii="Book Antiqua" w:hAnsi="Book Antiqua" w:cs="Arial"/>
              </w:rPr>
              <w:t xml:space="preserve"> the last day of the aforesaid deadline. Any request received by the Employer thereafter i.e. beyond </w:t>
            </w:r>
            <w:r w:rsidRPr="006C2379">
              <w:rPr>
                <w:rStyle w:val="Hyperlink"/>
                <w:rFonts w:ascii="Book Antiqua" w:eastAsia="Batang" w:hAnsi="Book Antiqua" w:cs="Arial"/>
              </w:rPr>
              <w:t xml:space="preserve">1100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 </w:t>
            </w:r>
            <w:r w:rsidRPr="006C2379">
              <w:rPr>
                <w:rFonts w:ascii="Book Antiqua" w:hAnsi="Book Antiqua" w:cs="Arial"/>
              </w:rPr>
              <w:t xml:space="preserve">or received prior to the day of deadline for submission of soft part of the bids shall not be entertained under any circumstances. The time of receipt of such communication on the e-mail IDs mentioned below shall govern for the purpose of determining whether or not the communication has been received prior to the deadline for bid submission as stipulated. The bidder(s) may also note that the above recourse shall, however, be adopted only once in the first such instance and no further extension on this account beyond </w:t>
            </w:r>
            <w:r w:rsidRPr="006C2379">
              <w:rPr>
                <w:rStyle w:val="Hyperlink"/>
                <w:rFonts w:ascii="Book Antiqua" w:eastAsia="Batang" w:hAnsi="Book Antiqua" w:cs="Arial"/>
              </w:rPr>
              <w:t xml:space="preserve">1500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w:t>
            </w:r>
            <w:r w:rsidRPr="006C2379">
              <w:rPr>
                <w:rFonts w:ascii="Book Antiqua" w:hAnsi="Book Antiqua" w:cs="Arial"/>
              </w:rPr>
              <w:t xml:space="preserve"> as above shall be given by the Employer.</w:t>
            </w:r>
          </w:p>
          <w:p w14:paraId="1B6FA414" w14:textId="77777777" w:rsidR="002B088A" w:rsidRPr="006C2379" w:rsidRDefault="002B088A" w:rsidP="002B088A">
            <w:pPr>
              <w:ind w:left="1080" w:hanging="1080"/>
              <w:jc w:val="both"/>
              <w:rPr>
                <w:rFonts w:ascii="Book Antiqua" w:hAnsi="Book Antiqua" w:cs="Arial"/>
              </w:rPr>
            </w:pPr>
          </w:p>
          <w:p w14:paraId="7CC84937" w14:textId="621037DF" w:rsidR="004D497B" w:rsidRPr="00182D40" w:rsidRDefault="002B088A" w:rsidP="002B088A">
            <w:pPr>
              <w:ind w:left="1598" w:hanging="1417"/>
              <w:rPr>
                <w:rFonts w:ascii="Book Antiqua" w:hAnsi="Book Antiqua"/>
              </w:rPr>
            </w:pPr>
            <w:r w:rsidRPr="00FC0343">
              <w:rPr>
                <w:rFonts w:ascii="Book Antiqua" w:hAnsi="Book Antiqua" w:cs="Arial"/>
                <w:lang w:val="en-GB"/>
              </w:rPr>
              <w:t>Email Address:</w:t>
            </w:r>
            <w:r w:rsidRPr="002B088A">
              <w:rPr>
                <w:rStyle w:val="Hyperlink"/>
                <w:rFonts w:ascii="Book Antiqua" w:hAnsi="Book Antiqua" w:cs="Arial"/>
                <w:snapToGrid w:val="0"/>
                <w:u w:val="none"/>
              </w:rPr>
              <w:t xml:space="preserve"> </w:t>
            </w:r>
            <w:hyperlink r:id="rId8" w:history="1">
              <w:r w:rsidRPr="005E1EED">
                <w:rPr>
                  <w:rStyle w:val="Hyperlink"/>
                  <w:rFonts w:ascii="Book Antiqua" w:hAnsi="Book Antiqua"/>
                  <w:lang w:val="en-GB"/>
                </w:rPr>
                <w:t>maneesh.jharwal@powergrid.in</w:t>
              </w:r>
            </w:hyperlink>
            <w:r>
              <w:rPr>
                <w:rStyle w:val="Hyperlink"/>
                <w:rFonts w:ascii="Book Antiqua" w:hAnsi="Book Antiqua"/>
                <w:lang w:val="en-GB"/>
              </w:rPr>
              <w:t xml:space="preserve">; </w:t>
            </w:r>
            <w:hyperlink r:id="rId9" w:history="1">
              <w:r w:rsidRPr="009F215E">
                <w:rPr>
                  <w:rStyle w:val="Hyperlink"/>
                  <w:rFonts w:ascii="Book Antiqua" w:hAnsi="Book Antiqua"/>
                  <w:lang w:val="en-GB"/>
                </w:rPr>
                <w:t>virendra2@powergrid.in</w:t>
              </w:r>
            </w:hyperlink>
            <w:r w:rsidRPr="00CC5F5C">
              <w:rPr>
                <w:rFonts w:ascii="Book Antiqua" w:hAnsi="Book Antiqua"/>
                <w:lang w:val="en-GB"/>
              </w:rPr>
              <w:t xml:space="preserve">; </w:t>
            </w:r>
            <w:hyperlink r:id="rId10" w:history="1">
              <w:r w:rsidRPr="00CC5F5C">
                <w:rPr>
                  <w:rStyle w:val="Hyperlink"/>
                  <w:rFonts w:ascii="Book Antiqua" w:hAnsi="Book Antiqua"/>
                  <w:lang w:val="en-GB"/>
                </w:rPr>
                <w:t>rahul.prasad@powergrid.in</w:t>
              </w:r>
            </w:hyperlink>
          </w:p>
        </w:tc>
        <w:tc>
          <w:tcPr>
            <w:tcW w:w="6663" w:type="dxa"/>
          </w:tcPr>
          <w:p w14:paraId="7E588D35" w14:textId="46B9DAC0" w:rsidR="002B088A" w:rsidRPr="006C2379" w:rsidRDefault="002B088A" w:rsidP="002B088A">
            <w:pPr>
              <w:ind w:left="181"/>
              <w:jc w:val="both"/>
              <w:rPr>
                <w:rFonts w:ascii="Book Antiqua" w:hAnsi="Book Antiqua" w:cs="Arial"/>
              </w:rPr>
            </w:pPr>
            <w:r w:rsidRPr="00FC0343">
              <w:rPr>
                <w:rFonts w:ascii="Book Antiqua" w:hAnsi="Book Antiqua" w:cs="Arial"/>
              </w:rPr>
              <w:t xml:space="preserve">Notwithstanding above, the Employer may, at its discretion, extend the deadline for submission of soft part of the </w:t>
            </w:r>
            <w:r>
              <w:rPr>
                <w:rFonts w:ascii="Book Antiqua" w:hAnsi="Book Antiqua" w:cs="Arial"/>
              </w:rPr>
              <w:t>proposals</w:t>
            </w:r>
            <w:r w:rsidRPr="00FC0343">
              <w:rPr>
                <w:rFonts w:ascii="Book Antiqua" w:hAnsi="Book Antiqua" w:cs="Arial"/>
              </w:rPr>
              <w:t xml:space="preserve"> from </w:t>
            </w:r>
            <w:r>
              <w:rPr>
                <w:rStyle w:val="Hyperlink"/>
                <w:rFonts w:ascii="Book Antiqua" w:eastAsia="Batang" w:hAnsi="Book Antiqua" w:cs="Arial"/>
              </w:rPr>
              <w:t>15</w:t>
            </w:r>
            <w:r w:rsidRPr="006C2379">
              <w:rPr>
                <w:rStyle w:val="Hyperlink"/>
                <w:rFonts w:ascii="Book Antiqua" w:eastAsia="Batang" w:hAnsi="Book Antiqua" w:cs="Arial"/>
              </w:rPr>
              <w:t xml:space="preserve">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 to </w:t>
            </w:r>
            <w:r>
              <w:rPr>
                <w:rStyle w:val="Hyperlink"/>
                <w:rFonts w:ascii="Book Antiqua" w:eastAsia="Batang" w:hAnsi="Book Antiqua" w:cs="Arial"/>
              </w:rPr>
              <w:t>17</w:t>
            </w:r>
            <w:r w:rsidRPr="006C2379">
              <w:rPr>
                <w:rStyle w:val="Hyperlink"/>
                <w:rFonts w:ascii="Book Antiqua" w:eastAsia="Batang" w:hAnsi="Book Antiqua" w:cs="Arial"/>
              </w:rPr>
              <w:t xml:space="preserve">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w:t>
            </w:r>
            <w:r w:rsidRPr="006C2379">
              <w:rPr>
                <w:rFonts w:ascii="Book Antiqua" w:hAnsi="Book Antiqua" w:cs="Arial"/>
              </w:rPr>
              <w:t xml:space="preserve"> on the same day in case the bidder(s) faces difficulty in submission of </w:t>
            </w:r>
            <w:r>
              <w:rPr>
                <w:rFonts w:ascii="Book Antiqua" w:hAnsi="Book Antiqua" w:cs="Arial"/>
              </w:rPr>
              <w:t>proposals</w:t>
            </w:r>
            <w:r w:rsidRPr="006C2379">
              <w:rPr>
                <w:rFonts w:ascii="Book Antiqua" w:hAnsi="Book Antiqua" w:cs="Arial"/>
              </w:rPr>
              <w:t xml:space="preserve"> on the e-Procurement Portal even for reasons not attributable to the Portal’s server. In such a case, the bidder(s) shall however, be required to send a written communication on the e-mail IDs mentioned below for the purpose before the deadline for submission of soft part of the </w:t>
            </w:r>
            <w:r>
              <w:rPr>
                <w:rFonts w:ascii="Book Antiqua" w:hAnsi="Book Antiqua" w:cs="Arial"/>
              </w:rPr>
              <w:t>proposals</w:t>
            </w:r>
            <w:r w:rsidRPr="006C2379">
              <w:rPr>
                <w:rFonts w:ascii="Book Antiqua" w:hAnsi="Book Antiqua" w:cs="Arial"/>
              </w:rPr>
              <w:t xml:space="preserve"> i.e. </w:t>
            </w:r>
            <w:r>
              <w:rPr>
                <w:rStyle w:val="Hyperlink"/>
                <w:rFonts w:ascii="Book Antiqua" w:eastAsia="Batang" w:hAnsi="Book Antiqua" w:cs="Arial"/>
              </w:rPr>
              <w:t>15</w:t>
            </w:r>
            <w:r w:rsidRPr="006C2379">
              <w:rPr>
                <w:rStyle w:val="Hyperlink"/>
                <w:rFonts w:ascii="Book Antiqua" w:eastAsia="Batang" w:hAnsi="Book Antiqua" w:cs="Arial"/>
              </w:rPr>
              <w:t xml:space="preserve">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w:t>
            </w:r>
            <w:r w:rsidRPr="006C2379">
              <w:rPr>
                <w:rFonts w:ascii="Book Antiqua" w:hAnsi="Book Antiqua" w:cs="Arial"/>
              </w:rPr>
              <w:t xml:space="preserve"> on</w:t>
            </w:r>
            <w:r w:rsidRPr="00FC0343">
              <w:rPr>
                <w:rFonts w:ascii="Book Antiqua" w:hAnsi="Book Antiqua" w:cs="Arial"/>
              </w:rPr>
              <w:t xml:space="preserve"> the last day of the aforesaid deadline. Any request received by the Employer thereaft</w:t>
            </w:r>
            <w:bookmarkStart w:id="0" w:name="_GoBack"/>
            <w:bookmarkEnd w:id="0"/>
            <w:r w:rsidRPr="00FC0343">
              <w:rPr>
                <w:rFonts w:ascii="Book Antiqua" w:hAnsi="Book Antiqua" w:cs="Arial"/>
              </w:rPr>
              <w:t xml:space="preserve">er i.e. beyond </w:t>
            </w:r>
            <w:r>
              <w:rPr>
                <w:rStyle w:val="Hyperlink"/>
                <w:rFonts w:ascii="Book Antiqua" w:eastAsia="Batang" w:hAnsi="Book Antiqua" w:cs="Arial"/>
              </w:rPr>
              <w:t>15</w:t>
            </w:r>
            <w:r w:rsidRPr="006C2379">
              <w:rPr>
                <w:rStyle w:val="Hyperlink"/>
                <w:rFonts w:ascii="Book Antiqua" w:eastAsia="Batang" w:hAnsi="Book Antiqua" w:cs="Arial"/>
              </w:rPr>
              <w:t xml:space="preserve">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 </w:t>
            </w:r>
            <w:r w:rsidRPr="006C2379">
              <w:rPr>
                <w:rFonts w:ascii="Book Antiqua" w:hAnsi="Book Antiqua" w:cs="Arial"/>
              </w:rPr>
              <w:t xml:space="preserve">or received prior to the day of deadline for submission of soft part of the bids shall not be entertained under any circumstances. The time of receipt of such communication on the e-mail IDs mentioned below shall govern for the purpose of determining whether or not the communication has been received prior to the deadline for bid submission as stipulated. The bidder(s) may also note that the above recourse shall, however, be adopted only once in the first such instance and no further extension on this account beyond </w:t>
            </w:r>
            <w:r w:rsidRPr="006C2379">
              <w:rPr>
                <w:rStyle w:val="Hyperlink"/>
                <w:rFonts w:ascii="Book Antiqua" w:eastAsia="Batang" w:hAnsi="Book Antiqua" w:cs="Arial"/>
              </w:rPr>
              <w:t>1</w:t>
            </w:r>
            <w:r>
              <w:rPr>
                <w:rStyle w:val="Hyperlink"/>
                <w:rFonts w:ascii="Book Antiqua" w:eastAsia="Batang" w:hAnsi="Book Antiqua" w:cs="Arial"/>
              </w:rPr>
              <w:t>7</w:t>
            </w:r>
            <w:r w:rsidRPr="006C2379">
              <w:rPr>
                <w:rStyle w:val="Hyperlink"/>
                <w:rFonts w:ascii="Book Antiqua" w:eastAsia="Batang" w:hAnsi="Book Antiqua" w:cs="Arial"/>
              </w:rPr>
              <w:t xml:space="preserve">00 </w:t>
            </w:r>
            <w:proofErr w:type="spellStart"/>
            <w:r w:rsidRPr="006C2379">
              <w:rPr>
                <w:rStyle w:val="Hyperlink"/>
                <w:rFonts w:ascii="Book Antiqua" w:eastAsia="Batang" w:hAnsi="Book Antiqua" w:cs="Arial"/>
              </w:rPr>
              <w:t>hrs</w:t>
            </w:r>
            <w:proofErr w:type="spellEnd"/>
            <w:r w:rsidRPr="006C2379">
              <w:rPr>
                <w:rStyle w:val="Hyperlink"/>
                <w:rFonts w:ascii="Book Antiqua" w:eastAsia="Batang" w:hAnsi="Book Antiqua" w:cs="Arial"/>
              </w:rPr>
              <w:t xml:space="preserve"> (IST)</w:t>
            </w:r>
            <w:r w:rsidRPr="006C2379">
              <w:rPr>
                <w:rFonts w:ascii="Book Antiqua" w:hAnsi="Book Antiqua" w:cs="Arial"/>
              </w:rPr>
              <w:t xml:space="preserve"> as above shall be given by the Employer.</w:t>
            </w:r>
          </w:p>
          <w:p w14:paraId="262E237D" w14:textId="77777777" w:rsidR="002B088A" w:rsidRPr="006C2379" w:rsidRDefault="002B088A" w:rsidP="002B088A">
            <w:pPr>
              <w:ind w:left="1080" w:hanging="1080"/>
              <w:jc w:val="both"/>
              <w:rPr>
                <w:rFonts w:ascii="Book Antiqua" w:hAnsi="Book Antiqua" w:cs="Arial"/>
              </w:rPr>
            </w:pPr>
          </w:p>
          <w:p w14:paraId="2135C2A6" w14:textId="5314485A" w:rsidR="00182D40" w:rsidRPr="00182D40" w:rsidRDefault="002B088A" w:rsidP="002B088A">
            <w:pPr>
              <w:ind w:left="618" w:hanging="657"/>
              <w:rPr>
                <w:rFonts w:ascii="Book Antiqua" w:hAnsi="Book Antiqua"/>
              </w:rPr>
            </w:pPr>
            <w:r w:rsidRPr="00FC0343">
              <w:rPr>
                <w:rFonts w:ascii="Book Antiqua" w:hAnsi="Book Antiqua" w:cs="Arial"/>
                <w:lang w:val="en-GB"/>
              </w:rPr>
              <w:t>Email Address:</w:t>
            </w:r>
            <w:r w:rsidRPr="002B088A">
              <w:rPr>
                <w:rStyle w:val="Hyperlink"/>
                <w:rFonts w:ascii="Book Antiqua" w:hAnsi="Book Antiqua" w:cs="Arial"/>
                <w:snapToGrid w:val="0"/>
                <w:u w:val="none"/>
              </w:rPr>
              <w:t xml:space="preserve"> </w:t>
            </w:r>
            <w:hyperlink r:id="rId11" w:history="1">
              <w:r w:rsidRPr="005E1EED">
                <w:rPr>
                  <w:rStyle w:val="Hyperlink"/>
                  <w:rFonts w:ascii="Book Antiqua" w:hAnsi="Book Antiqua"/>
                  <w:lang w:val="en-GB"/>
                </w:rPr>
                <w:t>maneesh.jharwal@powergrid.in</w:t>
              </w:r>
            </w:hyperlink>
            <w:r>
              <w:rPr>
                <w:rStyle w:val="Hyperlink"/>
                <w:rFonts w:ascii="Book Antiqua" w:hAnsi="Book Antiqua"/>
                <w:lang w:val="en-GB"/>
              </w:rPr>
              <w:t xml:space="preserve">; </w:t>
            </w:r>
            <w:hyperlink r:id="rId12" w:history="1">
              <w:r w:rsidRPr="009F215E">
                <w:rPr>
                  <w:rStyle w:val="Hyperlink"/>
                  <w:rFonts w:ascii="Book Antiqua" w:hAnsi="Book Antiqua"/>
                  <w:lang w:val="en-GB"/>
                </w:rPr>
                <w:t>virendra2@powergrid.in</w:t>
              </w:r>
            </w:hyperlink>
            <w:r w:rsidRPr="00CC5F5C">
              <w:rPr>
                <w:rFonts w:ascii="Book Antiqua" w:hAnsi="Book Antiqua"/>
                <w:lang w:val="en-GB"/>
              </w:rPr>
              <w:t xml:space="preserve">; </w:t>
            </w:r>
            <w:hyperlink r:id="rId13" w:history="1">
              <w:r w:rsidRPr="00CC5F5C">
                <w:rPr>
                  <w:rStyle w:val="Hyperlink"/>
                  <w:rFonts w:ascii="Book Antiqua" w:hAnsi="Book Antiqua"/>
                  <w:lang w:val="en-GB"/>
                </w:rPr>
                <w:t>rahul.prasad@powergrid.in</w:t>
              </w:r>
            </w:hyperlink>
          </w:p>
        </w:tc>
      </w:tr>
      <w:tr w:rsidR="00113DFD" w:rsidRPr="00182D40" w14:paraId="3A93CA28" w14:textId="77777777" w:rsidTr="004E5210">
        <w:tc>
          <w:tcPr>
            <w:tcW w:w="656" w:type="dxa"/>
          </w:tcPr>
          <w:p w14:paraId="4E4175E3" w14:textId="1229D2A5" w:rsidR="00113DFD" w:rsidRPr="00182D40" w:rsidRDefault="00113DFD">
            <w:pPr>
              <w:rPr>
                <w:rFonts w:ascii="Book Antiqua" w:hAnsi="Book Antiqua"/>
              </w:rPr>
            </w:pPr>
            <w:r>
              <w:rPr>
                <w:rFonts w:ascii="Book Antiqua" w:hAnsi="Book Antiqua"/>
              </w:rPr>
              <w:t>2.</w:t>
            </w:r>
          </w:p>
        </w:tc>
        <w:tc>
          <w:tcPr>
            <w:tcW w:w="1896" w:type="dxa"/>
          </w:tcPr>
          <w:p w14:paraId="40546E4A" w14:textId="45DB3819" w:rsidR="00113DFD" w:rsidRPr="00182D40" w:rsidRDefault="00EE0FD8" w:rsidP="00CC3F85">
            <w:pPr>
              <w:jc w:val="both"/>
              <w:rPr>
                <w:rFonts w:ascii="Book Antiqua" w:hAnsi="Book Antiqua"/>
              </w:rPr>
            </w:pPr>
            <w:r>
              <w:rPr>
                <w:rFonts w:ascii="Book Antiqua" w:hAnsi="Book Antiqua"/>
              </w:rPr>
              <w:t xml:space="preserve">Section-II of </w:t>
            </w:r>
            <w:proofErr w:type="spellStart"/>
            <w:r>
              <w:rPr>
                <w:rFonts w:ascii="Book Antiqua" w:hAnsi="Book Antiqua"/>
              </w:rPr>
              <w:t>RfP</w:t>
            </w:r>
            <w:proofErr w:type="spellEnd"/>
            <w:r>
              <w:rPr>
                <w:rFonts w:ascii="Book Antiqua" w:hAnsi="Book Antiqua"/>
              </w:rPr>
              <w:t xml:space="preserve"> Document</w:t>
            </w:r>
          </w:p>
        </w:tc>
        <w:tc>
          <w:tcPr>
            <w:tcW w:w="13325" w:type="dxa"/>
            <w:gridSpan w:val="2"/>
          </w:tcPr>
          <w:p w14:paraId="5698AF8E" w14:textId="2943E197" w:rsidR="00113DFD" w:rsidRPr="00182D40" w:rsidRDefault="00113DFD" w:rsidP="00113DFD">
            <w:pPr>
              <w:ind w:left="35" w:hanging="47"/>
              <w:jc w:val="both"/>
              <w:rPr>
                <w:rFonts w:ascii="Book Antiqua" w:hAnsi="Book Antiqua" w:cs="Arial"/>
                <w:bCs/>
              </w:rPr>
            </w:pPr>
            <w:r>
              <w:rPr>
                <w:rFonts w:ascii="Book Antiqua" w:hAnsi="Book Antiqua"/>
                <w:sz w:val="24"/>
                <w:szCs w:val="24"/>
              </w:rPr>
              <w:t>‘</w:t>
            </w:r>
            <w:r w:rsidRPr="00113DFD">
              <w:rPr>
                <w:rFonts w:ascii="Book Antiqua" w:hAnsi="Book Antiqua"/>
                <w:b/>
                <w:bCs/>
                <w:sz w:val="24"/>
                <w:szCs w:val="24"/>
              </w:rPr>
              <w:t>Section-II: Terms of Reference</w:t>
            </w:r>
            <w:r>
              <w:rPr>
                <w:rFonts w:ascii="Book Antiqua" w:hAnsi="Book Antiqua"/>
                <w:sz w:val="24"/>
                <w:szCs w:val="24"/>
              </w:rPr>
              <w:t>’</w:t>
            </w:r>
            <w:r w:rsidRPr="00085B55">
              <w:rPr>
                <w:rFonts w:ascii="Book Antiqua" w:hAnsi="Book Antiqua"/>
                <w:sz w:val="24"/>
                <w:szCs w:val="24"/>
              </w:rPr>
              <w:t xml:space="preserve"> of </w:t>
            </w:r>
            <w:proofErr w:type="spellStart"/>
            <w:r w:rsidRPr="00085B55">
              <w:rPr>
                <w:rFonts w:ascii="Book Antiqua" w:hAnsi="Book Antiqua"/>
                <w:sz w:val="24"/>
                <w:szCs w:val="24"/>
              </w:rPr>
              <w:t>RfP</w:t>
            </w:r>
            <w:proofErr w:type="spellEnd"/>
            <w:r w:rsidRPr="00085B55">
              <w:rPr>
                <w:rFonts w:ascii="Book Antiqua" w:hAnsi="Book Antiqua"/>
                <w:sz w:val="24"/>
                <w:szCs w:val="24"/>
              </w:rPr>
              <w:t xml:space="preserve"> Document is hereby replaced with “</w:t>
            </w:r>
            <w:r w:rsidRPr="00113DFD">
              <w:rPr>
                <w:rFonts w:ascii="Book Antiqua" w:hAnsi="Book Antiqua"/>
                <w:b/>
                <w:bCs/>
                <w:sz w:val="24"/>
                <w:szCs w:val="24"/>
              </w:rPr>
              <w:t>Section-II: Terms of Reference</w:t>
            </w:r>
            <w:r w:rsidRPr="00085B55">
              <w:rPr>
                <w:rFonts w:ascii="Book Antiqua" w:hAnsi="Book Antiqua"/>
                <w:b/>
                <w:bCs/>
                <w:sz w:val="24"/>
                <w:szCs w:val="24"/>
              </w:rPr>
              <w:t xml:space="preserve"> _rev1.0</w:t>
            </w:r>
            <w:r w:rsidRPr="00085B55">
              <w:rPr>
                <w:rFonts w:ascii="Book Antiqua" w:hAnsi="Book Antiqua"/>
                <w:sz w:val="24"/>
                <w:szCs w:val="24"/>
              </w:rPr>
              <w:t>” and attached herewith</w:t>
            </w:r>
          </w:p>
        </w:tc>
      </w:tr>
      <w:tr w:rsidR="00113DFD" w:rsidRPr="00182D40" w14:paraId="7F4A5A48" w14:textId="77777777" w:rsidTr="004E5210">
        <w:tc>
          <w:tcPr>
            <w:tcW w:w="656" w:type="dxa"/>
          </w:tcPr>
          <w:p w14:paraId="52BF25C4" w14:textId="5522884B" w:rsidR="00113DFD" w:rsidRPr="00182D40" w:rsidRDefault="00113DFD" w:rsidP="00A577F5">
            <w:pPr>
              <w:rPr>
                <w:rFonts w:ascii="Book Antiqua" w:hAnsi="Book Antiqua"/>
              </w:rPr>
            </w:pPr>
            <w:r>
              <w:rPr>
                <w:rFonts w:ascii="Book Antiqua" w:hAnsi="Book Antiqua"/>
              </w:rPr>
              <w:t>3.</w:t>
            </w:r>
          </w:p>
        </w:tc>
        <w:tc>
          <w:tcPr>
            <w:tcW w:w="1896" w:type="dxa"/>
          </w:tcPr>
          <w:p w14:paraId="0A18A3C0" w14:textId="1DEEFAB2" w:rsidR="00113DFD" w:rsidRPr="00182D40" w:rsidRDefault="00EE0FD8" w:rsidP="00A577F5">
            <w:pPr>
              <w:jc w:val="both"/>
              <w:rPr>
                <w:rFonts w:ascii="Book Antiqua" w:hAnsi="Book Antiqua"/>
              </w:rPr>
            </w:pPr>
            <w:r>
              <w:rPr>
                <w:rFonts w:ascii="Book Antiqua" w:hAnsi="Book Antiqua"/>
              </w:rPr>
              <w:t xml:space="preserve">Annexure-I to Section-III of </w:t>
            </w:r>
            <w:proofErr w:type="spellStart"/>
            <w:r>
              <w:rPr>
                <w:rFonts w:ascii="Book Antiqua" w:hAnsi="Book Antiqua"/>
              </w:rPr>
              <w:t>RfP</w:t>
            </w:r>
            <w:proofErr w:type="spellEnd"/>
            <w:r>
              <w:rPr>
                <w:rFonts w:ascii="Book Antiqua" w:hAnsi="Book Antiqua"/>
              </w:rPr>
              <w:t xml:space="preserve"> Document</w:t>
            </w:r>
          </w:p>
        </w:tc>
        <w:tc>
          <w:tcPr>
            <w:tcW w:w="13325" w:type="dxa"/>
            <w:gridSpan w:val="2"/>
          </w:tcPr>
          <w:p w14:paraId="399E0C4B" w14:textId="10F1FC92" w:rsidR="00113DFD" w:rsidRPr="00182D40" w:rsidRDefault="00113DFD" w:rsidP="003B25C1">
            <w:pPr>
              <w:ind w:left="434" w:hanging="434"/>
              <w:jc w:val="both"/>
              <w:rPr>
                <w:rFonts w:ascii="Book Antiqua" w:hAnsi="Book Antiqua" w:cs="Arial"/>
              </w:rPr>
            </w:pPr>
            <w:r>
              <w:rPr>
                <w:rFonts w:ascii="Book Antiqua" w:hAnsi="Book Antiqua"/>
                <w:sz w:val="24"/>
                <w:szCs w:val="24"/>
              </w:rPr>
              <w:t>‘</w:t>
            </w:r>
            <w:r w:rsidRPr="00113DFD">
              <w:rPr>
                <w:rFonts w:ascii="Book Antiqua" w:hAnsi="Book Antiqua"/>
                <w:b/>
                <w:bCs/>
                <w:sz w:val="24"/>
                <w:szCs w:val="24"/>
              </w:rPr>
              <w:t>Annexure-I to Section-III</w:t>
            </w:r>
            <w:r>
              <w:rPr>
                <w:rFonts w:ascii="Book Antiqua" w:hAnsi="Book Antiqua"/>
                <w:sz w:val="24"/>
                <w:szCs w:val="24"/>
              </w:rPr>
              <w:t>’</w:t>
            </w:r>
            <w:r w:rsidRPr="00085B55">
              <w:rPr>
                <w:rFonts w:ascii="Book Antiqua" w:hAnsi="Book Antiqua"/>
                <w:sz w:val="24"/>
                <w:szCs w:val="24"/>
              </w:rPr>
              <w:t xml:space="preserve"> of </w:t>
            </w:r>
            <w:proofErr w:type="spellStart"/>
            <w:r w:rsidRPr="00085B55">
              <w:rPr>
                <w:rFonts w:ascii="Book Antiqua" w:hAnsi="Book Antiqua"/>
                <w:sz w:val="24"/>
                <w:szCs w:val="24"/>
              </w:rPr>
              <w:t>RfP</w:t>
            </w:r>
            <w:proofErr w:type="spellEnd"/>
            <w:r w:rsidRPr="00085B55">
              <w:rPr>
                <w:rFonts w:ascii="Book Antiqua" w:hAnsi="Book Antiqua"/>
                <w:sz w:val="24"/>
                <w:szCs w:val="24"/>
              </w:rPr>
              <w:t xml:space="preserve"> Document is hereby replaced with “</w:t>
            </w:r>
            <w:r w:rsidRPr="00085B55">
              <w:rPr>
                <w:rFonts w:ascii="Book Antiqua" w:hAnsi="Book Antiqua"/>
                <w:b/>
                <w:bCs/>
                <w:sz w:val="24"/>
                <w:szCs w:val="24"/>
              </w:rPr>
              <w:t>Annexure-I to Section-III_rev1.0</w:t>
            </w:r>
            <w:r w:rsidRPr="00085B55">
              <w:rPr>
                <w:rFonts w:ascii="Book Antiqua" w:hAnsi="Book Antiqua"/>
                <w:sz w:val="24"/>
                <w:szCs w:val="24"/>
              </w:rPr>
              <w:t>” and attached herewith.</w:t>
            </w:r>
          </w:p>
        </w:tc>
      </w:tr>
      <w:tr w:rsidR="00113DFD" w:rsidRPr="00182D40" w14:paraId="7D9FE5F3" w14:textId="77777777" w:rsidTr="004E5210">
        <w:tc>
          <w:tcPr>
            <w:tcW w:w="656" w:type="dxa"/>
          </w:tcPr>
          <w:p w14:paraId="62766F78" w14:textId="1D1FCDEF" w:rsidR="00113DFD" w:rsidRPr="00182D40" w:rsidRDefault="006D1310" w:rsidP="00A577F5">
            <w:pPr>
              <w:rPr>
                <w:rFonts w:ascii="Book Antiqua" w:hAnsi="Book Antiqua"/>
              </w:rPr>
            </w:pPr>
            <w:r>
              <w:rPr>
                <w:rFonts w:ascii="Book Antiqua" w:hAnsi="Book Antiqua"/>
              </w:rPr>
              <w:lastRenderedPageBreak/>
              <w:t>4.</w:t>
            </w:r>
          </w:p>
        </w:tc>
        <w:tc>
          <w:tcPr>
            <w:tcW w:w="1896" w:type="dxa"/>
          </w:tcPr>
          <w:p w14:paraId="749F3D69" w14:textId="468CEE55" w:rsidR="00113DFD" w:rsidRPr="00182D40" w:rsidRDefault="00EE0FD8" w:rsidP="00A577F5">
            <w:pPr>
              <w:jc w:val="both"/>
              <w:rPr>
                <w:rFonts w:ascii="Book Antiqua" w:hAnsi="Book Antiqua"/>
              </w:rPr>
            </w:pPr>
            <w:r>
              <w:rPr>
                <w:rFonts w:ascii="Book Antiqua" w:hAnsi="Book Antiqua"/>
              </w:rPr>
              <w:t xml:space="preserve">FORM-1 of Section-V of </w:t>
            </w:r>
            <w:proofErr w:type="spellStart"/>
            <w:r>
              <w:rPr>
                <w:rFonts w:ascii="Book Antiqua" w:hAnsi="Book Antiqua"/>
              </w:rPr>
              <w:t>RfP</w:t>
            </w:r>
            <w:proofErr w:type="spellEnd"/>
            <w:r>
              <w:rPr>
                <w:rFonts w:ascii="Book Antiqua" w:hAnsi="Book Antiqua"/>
              </w:rPr>
              <w:t xml:space="preserve"> Document</w:t>
            </w:r>
          </w:p>
        </w:tc>
        <w:tc>
          <w:tcPr>
            <w:tcW w:w="13325" w:type="dxa"/>
            <w:gridSpan w:val="2"/>
          </w:tcPr>
          <w:p w14:paraId="75209277" w14:textId="79E8D041" w:rsidR="00113DFD" w:rsidRPr="00182D40" w:rsidRDefault="00113DFD" w:rsidP="00113DFD">
            <w:pPr>
              <w:ind w:hanging="16"/>
              <w:jc w:val="both"/>
              <w:rPr>
                <w:rFonts w:ascii="Book Antiqua" w:hAnsi="Book Antiqua"/>
              </w:rPr>
            </w:pPr>
            <w:r w:rsidRPr="00085B55">
              <w:rPr>
                <w:rFonts w:ascii="Book Antiqua" w:hAnsi="Book Antiqua"/>
                <w:sz w:val="24"/>
                <w:szCs w:val="24"/>
              </w:rPr>
              <w:t xml:space="preserve">In view of the amendment at </w:t>
            </w:r>
            <w:r>
              <w:rPr>
                <w:rFonts w:ascii="Book Antiqua" w:hAnsi="Book Antiqua"/>
                <w:sz w:val="24"/>
                <w:szCs w:val="24"/>
              </w:rPr>
              <w:t>Sl. No.2 &amp; 3</w:t>
            </w:r>
            <w:r w:rsidRPr="00085B55">
              <w:rPr>
                <w:rFonts w:ascii="Book Antiqua" w:hAnsi="Book Antiqua"/>
                <w:sz w:val="24"/>
                <w:szCs w:val="24"/>
              </w:rPr>
              <w:t xml:space="preserve">, </w:t>
            </w:r>
            <w:r w:rsidR="006D1310">
              <w:rPr>
                <w:rFonts w:ascii="Book Antiqua" w:hAnsi="Book Antiqua"/>
                <w:sz w:val="24"/>
                <w:szCs w:val="24"/>
              </w:rPr>
              <w:t>‘</w:t>
            </w:r>
            <w:r w:rsidR="006D1310" w:rsidRPr="006D1310">
              <w:rPr>
                <w:rFonts w:ascii="Book Antiqua" w:hAnsi="Book Antiqua"/>
                <w:b/>
                <w:bCs/>
                <w:sz w:val="24"/>
                <w:szCs w:val="24"/>
              </w:rPr>
              <w:t>FORM-1_CV of Expert</w:t>
            </w:r>
            <w:r w:rsidR="006D1310">
              <w:rPr>
                <w:rFonts w:ascii="Book Antiqua" w:hAnsi="Book Antiqua"/>
                <w:b/>
                <w:bCs/>
                <w:sz w:val="24"/>
                <w:szCs w:val="24"/>
              </w:rPr>
              <w:t xml:space="preserve">’ </w:t>
            </w:r>
            <w:r w:rsidR="006D1310" w:rsidRPr="006D1310">
              <w:rPr>
                <w:rFonts w:ascii="Book Antiqua" w:hAnsi="Book Antiqua"/>
                <w:sz w:val="24"/>
                <w:szCs w:val="24"/>
              </w:rPr>
              <w:t>of Section-V</w:t>
            </w:r>
            <w:r w:rsidRPr="00085B55">
              <w:rPr>
                <w:rFonts w:ascii="Book Antiqua" w:hAnsi="Book Antiqua"/>
                <w:sz w:val="24"/>
                <w:szCs w:val="24"/>
              </w:rPr>
              <w:t xml:space="preserve"> of </w:t>
            </w:r>
            <w:proofErr w:type="spellStart"/>
            <w:r w:rsidRPr="00085B55">
              <w:rPr>
                <w:rFonts w:ascii="Book Antiqua" w:hAnsi="Book Antiqua"/>
                <w:sz w:val="24"/>
                <w:szCs w:val="24"/>
              </w:rPr>
              <w:t>RfP</w:t>
            </w:r>
            <w:proofErr w:type="spellEnd"/>
            <w:r w:rsidRPr="00085B55">
              <w:rPr>
                <w:rFonts w:ascii="Book Antiqua" w:hAnsi="Book Antiqua"/>
                <w:sz w:val="24"/>
                <w:szCs w:val="24"/>
              </w:rPr>
              <w:t xml:space="preserve"> Document is hereby replaced with “</w:t>
            </w:r>
            <w:r w:rsidR="006D1310" w:rsidRPr="006D1310">
              <w:rPr>
                <w:rFonts w:ascii="Book Antiqua" w:hAnsi="Book Antiqua"/>
                <w:b/>
                <w:bCs/>
                <w:sz w:val="24"/>
                <w:szCs w:val="24"/>
              </w:rPr>
              <w:t>FORM-1_CV of Expert</w:t>
            </w:r>
            <w:r w:rsidRPr="00085B55">
              <w:rPr>
                <w:rFonts w:ascii="Book Antiqua" w:hAnsi="Book Antiqua"/>
                <w:b/>
                <w:bCs/>
                <w:sz w:val="24"/>
                <w:szCs w:val="24"/>
              </w:rPr>
              <w:t>_rev1.0</w:t>
            </w:r>
            <w:r w:rsidRPr="00085B55">
              <w:rPr>
                <w:rFonts w:ascii="Book Antiqua" w:hAnsi="Book Antiqua"/>
                <w:sz w:val="24"/>
                <w:szCs w:val="24"/>
              </w:rPr>
              <w:t>” and attached herewith.</w:t>
            </w:r>
          </w:p>
        </w:tc>
      </w:tr>
    </w:tbl>
    <w:p w14:paraId="55F00756" w14:textId="342C8695" w:rsidR="0061231B" w:rsidRDefault="0061231B">
      <w:pPr>
        <w:rPr>
          <w:rFonts w:ascii="Book Antiqua" w:hAnsi="Book Antiqua"/>
        </w:rPr>
      </w:pPr>
    </w:p>
    <w:p w14:paraId="2B33CC4F" w14:textId="7D31C5CB" w:rsidR="00FF140C" w:rsidRDefault="00FF140C">
      <w:pPr>
        <w:rPr>
          <w:rFonts w:ascii="Book Antiqua" w:hAnsi="Book Antiqua"/>
        </w:rPr>
      </w:pPr>
    </w:p>
    <w:p w14:paraId="797DE771" w14:textId="6E24CD10" w:rsidR="00FF140C" w:rsidRDefault="00FF140C">
      <w:pPr>
        <w:rPr>
          <w:rFonts w:ascii="Book Antiqua" w:hAnsi="Book Antiqua"/>
        </w:rPr>
      </w:pPr>
    </w:p>
    <w:p w14:paraId="14DBD820" w14:textId="50FEFA19" w:rsidR="00FF140C" w:rsidRDefault="00FF140C">
      <w:pPr>
        <w:rPr>
          <w:rFonts w:ascii="Book Antiqua" w:hAnsi="Book Antiqua"/>
        </w:rPr>
      </w:pPr>
    </w:p>
    <w:p w14:paraId="60CD6CF1" w14:textId="43D94DEA" w:rsidR="00FF140C" w:rsidRDefault="00FF140C">
      <w:pPr>
        <w:rPr>
          <w:rFonts w:ascii="Book Antiqua" w:hAnsi="Book Antiqua"/>
        </w:rPr>
      </w:pPr>
    </w:p>
    <w:p w14:paraId="028EE739" w14:textId="77777777" w:rsidR="00FF140C" w:rsidRPr="00182D40" w:rsidRDefault="00FF140C">
      <w:pPr>
        <w:rPr>
          <w:rFonts w:ascii="Book Antiqua" w:hAnsi="Book Antiqua"/>
        </w:rPr>
      </w:pPr>
    </w:p>
    <w:sectPr w:rsidR="00FF140C" w:rsidRPr="00182D40" w:rsidSect="00E06CF7">
      <w:headerReference w:type="default" r:id="rId14"/>
      <w:footerReference w:type="default" r:id="rId15"/>
      <w:pgSz w:w="16838" w:h="11906" w:orient="landscape"/>
      <w:pgMar w:top="1440" w:right="1440"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861E4" w14:textId="77777777" w:rsidR="00D967C8" w:rsidRDefault="00D967C8" w:rsidP="00944E6C">
      <w:pPr>
        <w:spacing w:after="0" w:line="240" w:lineRule="auto"/>
      </w:pPr>
      <w:r>
        <w:separator/>
      </w:r>
    </w:p>
  </w:endnote>
  <w:endnote w:type="continuationSeparator" w:id="0">
    <w:p w14:paraId="65C12EEC" w14:textId="77777777" w:rsidR="00D967C8" w:rsidRDefault="00D967C8" w:rsidP="0094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E52CB" w14:textId="0B7213E7" w:rsidR="00944E6C" w:rsidRDefault="00944E6C">
    <w:pPr>
      <w:pStyle w:val="Footer"/>
      <w:jc w:val="right"/>
    </w:pPr>
    <w:r>
      <w:t xml:space="preserve">Page </w:t>
    </w:r>
    <w:sdt>
      <w:sdtPr>
        <w:id w:val="52568516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577762">
          <w:rPr>
            <w:noProof/>
          </w:rPr>
          <w:t>2</w:t>
        </w:r>
      </w:sdtContent>
    </w:sdt>
  </w:p>
  <w:p w14:paraId="322B156E" w14:textId="77777777" w:rsidR="00944E6C" w:rsidRPr="00944E6C" w:rsidRDefault="00944E6C">
    <w:pPr>
      <w:pStyle w:val="Footer"/>
      <w:rPr>
        <w:lang w:val="en-I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E1CCA" w14:textId="77777777" w:rsidR="00D967C8" w:rsidRDefault="00D967C8" w:rsidP="00944E6C">
      <w:pPr>
        <w:spacing w:after="0" w:line="240" w:lineRule="auto"/>
      </w:pPr>
      <w:r>
        <w:separator/>
      </w:r>
    </w:p>
  </w:footnote>
  <w:footnote w:type="continuationSeparator" w:id="0">
    <w:p w14:paraId="7D969625" w14:textId="77777777" w:rsidR="00D967C8" w:rsidRDefault="00D967C8" w:rsidP="0094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CF0B0" w14:textId="75D56168" w:rsidR="00944E6C" w:rsidRPr="00944E6C" w:rsidRDefault="004D497B" w:rsidP="00E06CF7">
    <w:pPr>
      <w:pStyle w:val="Header"/>
      <w:ind w:left="-709" w:right="-904"/>
      <w:rPr>
        <w:rFonts w:ascii="Book Antiqua" w:hAnsi="Book Antiqua"/>
        <w:lang w:val="en-IN"/>
      </w:rPr>
    </w:pPr>
    <w:r>
      <w:rPr>
        <w:rFonts w:ascii="Book Antiqua" w:hAnsi="Book Antiqua"/>
        <w:lang w:val="en-IN"/>
      </w:rPr>
      <w:t>Amendment</w:t>
    </w:r>
    <w:r w:rsidR="00944E6C" w:rsidRPr="00944E6C">
      <w:rPr>
        <w:rFonts w:ascii="Book Antiqua" w:hAnsi="Book Antiqua"/>
        <w:lang w:val="en-IN"/>
      </w:rPr>
      <w:t>-I</w:t>
    </w:r>
    <w:r w:rsidR="00944E6C">
      <w:rPr>
        <w:rFonts w:ascii="Book Antiqua" w:hAnsi="Book Antiqua"/>
        <w:lang w:val="en-IN"/>
      </w:rPr>
      <w:t xml:space="preserve"> dated </w:t>
    </w:r>
    <w:r w:rsidR="00226D77">
      <w:rPr>
        <w:rFonts w:ascii="Book Antiqua" w:hAnsi="Book Antiqua"/>
        <w:lang w:val="en-IN"/>
      </w:rPr>
      <w:t>12</w:t>
    </w:r>
    <w:r w:rsidR="00944E6C">
      <w:rPr>
        <w:rFonts w:ascii="Book Antiqua" w:hAnsi="Book Antiqua"/>
        <w:lang w:val="en-IN"/>
      </w:rPr>
      <w:t>.1</w:t>
    </w:r>
    <w:r w:rsidR="002B088A">
      <w:rPr>
        <w:rFonts w:ascii="Book Antiqua" w:hAnsi="Book Antiqua"/>
        <w:lang w:val="en-IN"/>
      </w:rPr>
      <w:t>2</w:t>
    </w:r>
    <w:r w:rsidR="00944E6C">
      <w:rPr>
        <w:rFonts w:ascii="Book Antiqua" w:hAnsi="Book Antiqua"/>
        <w:lang w:val="en-IN"/>
      </w:rPr>
      <w:t xml:space="preserve">.2022 for </w:t>
    </w:r>
    <w:r w:rsidR="002B088A" w:rsidRPr="002B088A">
      <w:rPr>
        <w:rFonts w:ascii="Book Antiqua" w:hAnsi="Book Antiqua"/>
        <w:lang w:val="en-IN"/>
      </w:rPr>
      <w:t xml:space="preserve">Appointment of Independent Engineer for Transmission Scheme under “400 kV </w:t>
    </w:r>
    <w:proofErr w:type="spellStart"/>
    <w:r w:rsidR="002B088A" w:rsidRPr="002B088A">
      <w:rPr>
        <w:rFonts w:ascii="Book Antiqua" w:hAnsi="Book Antiqua"/>
        <w:lang w:val="en-IN"/>
      </w:rPr>
      <w:t>Khandukhal</w:t>
    </w:r>
    <w:proofErr w:type="spellEnd"/>
    <w:r w:rsidR="002B088A" w:rsidRPr="002B088A">
      <w:rPr>
        <w:rFonts w:ascii="Book Antiqua" w:hAnsi="Book Antiqua"/>
        <w:lang w:val="en-IN"/>
      </w:rPr>
      <w:t xml:space="preserve"> (Srinagar) - Rampura (Kashipur) D/c line”. Spec. No. CTUIL/IE/2022-23/02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40F56"/>
    <w:multiLevelType w:val="multilevel"/>
    <w:tmpl w:val="9D16D2D2"/>
    <w:lvl w:ilvl="0">
      <w:start w:val="8"/>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17025270"/>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23050AF"/>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3" w15:restartNumberingAfterBreak="0">
    <w:nsid w:val="3F073D18"/>
    <w:multiLevelType w:val="multilevel"/>
    <w:tmpl w:val="9D16D2D2"/>
    <w:lvl w:ilvl="0">
      <w:start w:val="8"/>
      <w:numFmt w:val="decimal"/>
      <w:lvlText w:val="%1."/>
      <w:lvlJc w:val="left"/>
      <w:pPr>
        <w:ind w:left="1080" w:hanging="720"/>
      </w:pPr>
      <w:rPr>
        <w:rFonts w:hint="default"/>
        <w:b/>
        <w:bCs/>
        <w:sz w:val="24"/>
        <w:szCs w:val="24"/>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5DB773E5"/>
    <w:multiLevelType w:val="hybridMultilevel"/>
    <w:tmpl w:val="D7347390"/>
    <w:lvl w:ilvl="0" w:tplc="E66AF4D0">
      <w:start w:val="1"/>
      <w:numFmt w:val="lowerLetter"/>
      <w:lvlText w:val="(%1)"/>
      <w:lvlJc w:val="left"/>
      <w:pPr>
        <w:ind w:left="553" w:hanging="363"/>
      </w:pPr>
      <w:rPr>
        <w:rFonts w:ascii="Calibri" w:eastAsia="Calibri" w:hAnsi="Calibri" w:cs="Calibri" w:hint="default"/>
        <w:spacing w:val="-2"/>
        <w:w w:val="100"/>
        <w:sz w:val="22"/>
        <w:szCs w:val="22"/>
        <w:lang w:val="en-US" w:eastAsia="en-US" w:bidi="ar-SA"/>
      </w:rPr>
    </w:lvl>
    <w:lvl w:ilvl="1" w:tplc="7A9E7A1C">
      <w:numFmt w:val="bullet"/>
      <w:lvlText w:val="•"/>
      <w:lvlJc w:val="left"/>
      <w:pPr>
        <w:ind w:left="1279" w:hanging="363"/>
      </w:pPr>
      <w:rPr>
        <w:rFonts w:hint="default"/>
        <w:lang w:val="en-US" w:eastAsia="en-US" w:bidi="ar-SA"/>
      </w:rPr>
    </w:lvl>
    <w:lvl w:ilvl="2" w:tplc="00D687DE">
      <w:numFmt w:val="bullet"/>
      <w:lvlText w:val="•"/>
      <w:lvlJc w:val="left"/>
      <w:pPr>
        <w:ind w:left="1999" w:hanging="363"/>
      </w:pPr>
      <w:rPr>
        <w:rFonts w:hint="default"/>
        <w:lang w:val="en-US" w:eastAsia="en-US" w:bidi="ar-SA"/>
      </w:rPr>
    </w:lvl>
    <w:lvl w:ilvl="3" w:tplc="DABC014A">
      <w:numFmt w:val="bullet"/>
      <w:lvlText w:val="•"/>
      <w:lvlJc w:val="left"/>
      <w:pPr>
        <w:ind w:left="2719" w:hanging="363"/>
      </w:pPr>
      <w:rPr>
        <w:rFonts w:hint="default"/>
        <w:lang w:val="en-US" w:eastAsia="en-US" w:bidi="ar-SA"/>
      </w:rPr>
    </w:lvl>
    <w:lvl w:ilvl="4" w:tplc="E0246280">
      <w:numFmt w:val="bullet"/>
      <w:lvlText w:val="•"/>
      <w:lvlJc w:val="left"/>
      <w:pPr>
        <w:ind w:left="3438" w:hanging="363"/>
      </w:pPr>
      <w:rPr>
        <w:rFonts w:hint="default"/>
        <w:lang w:val="en-US" w:eastAsia="en-US" w:bidi="ar-SA"/>
      </w:rPr>
    </w:lvl>
    <w:lvl w:ilvl="5" w:tplc="3376A9C6">
      <w:numFmt w:val="bullet"/>
      <w:lvlText w:val="•"/>
      <w:lvlJc w:val="left"/>
      <w:pPr>
        <w:ind w:left="4158" w:hanging="363"/>
      </w:pPr>
      <w:rPr>
        <w:rFonts w:hint="default"/>
        <w:lang w:val="en-US" w:eastAsia="en-US" w:bidi="ar-SA"/>
      </w:rPr>
    </w:lvl>
    <w:lvl w:ilvl="6" w:tplc="C4B28E96">
      <w:numFmt w:val="bullet"/>
      <w:lvlText w:val="•"/>
      <w:lvlJc w:val="left"/>
      <w:pPr>
        <w:ind w:left="4878" w:hanging="363"/>
      </w:pPr>
      <w:rPr>
        <w:rFonts w:hint="default"/>
        <w:lang w:val="en-US" w:eastAsia="en-US" w:bidi="ar-SA"/>
      </w:rPr>
    </w:lvl>
    <w:lvl w:ilvl="7" w:tplc="BC2C7A2E">
      <w:numFmt w:val="bullet"/>
      <w:lvlText w:val="•"/>
      <w:lvlJc w:val="left"/>
      <w:pPr>
        <w:ind w:left="5597" w:hanging="363"/>
      </w:pPr>
      <w:rPr>
        <w:rFonts w:hint="default"/>
        <w:lang w:val="en-US" w:eastAsia="en-US" w:bidi="ar-SA"/>
      </w:rPr>
    </w:lvl>
    <w:lvl w:ilvl="8" w:tplc="CA861736">
      <w:numFmt w:val="bullet"/>
      <w:lvlText w:val="•"/>
      <w:lvlJc w:val="left"/>
      <w:pPr>
        <w:ind w:left="6317" w:hanging="363"/>
      </w:pPr>
      <w:rPr>
        <w:rFonts w:hint="default"/>
        <w:lang w:val="en-US" w:eastAsia="en-US" w:bidi="ar-SA"/>
      </w:rPr>
    </w:lvl>
  </w:abstractNum>
  <w:abstractNum w:abstractNumId="5" w15:restartNumberingAfterBreak="0">
    <w:nsid w:val="687D4A25"/>
    <w:multiLevelType w:val="hybridMultilevel"/>
    <w:tmpl w:val="9DA07AF4"/>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start w:val="1"/>
      <w:numFmt w:val="lowerLetter"/>
      <w:lvlText w:val="%2."/>
      <w:lvlJc w:val="left"/>
      <w:pPr>
        <w:ind w:left="2580" w:hanging="360"/>
      </w:pPr>
    </w:lvl>
    <w:lvl w:ilvl="2" w:tplc="0409001B">
      <w:start w:val="1"/>
      <w:numFmt w:val="lowerRoman"/>
      <w:lvlText w:val="%3."/>
      <w:lvlJc w:val="right"/>
      <w:pPr>
        <w:ind w:left="3300" w:hanging="180"/>
      </w:pPr>
    </w:lvl>
    <w:lvl w:ilvl="3" w:tplc="0409000F">
      <w:start w:val="1"/>
      <w:numFmt w:val="decimal"/>
      <w:lvlText w:val="%4."/>
      <w:lvlJc w:val="left"/>
      <w:pPr>
        <w:ind w:left="4020" w:hanging="360"/>
      </w:pPr>
    </w:lvl>
    <w:lvl w:ilvl="4" w:tplc="04090019">
      <w:start w:val="1"/>
      <w:numFmt w:val="lowerLetter"/>
      <w:lvlText w:val="%5."/>
      <w:lvlJc w:val="left"/>
      <w:pPr>
        <w:ind w:left="4740" w:hanging="360"/>
      </w:pPr>
    </w:lvl>
    <w:lvl w:ilvl="5" w:tplc="0409001B">
      <w:start w:val="1"/>
      <w:numFmt w:val="lowerRoman"/>
      <w:lvlText w:val="%6."/>
      <w:lvlJc w:val="right"/>
      <w:pPr>
        <w:ind w:left="5460" w:hanging="180"/>
      </w:pPr>
    </w:lvl>
    <w:lvl w:ilvl="6" w:tplc="0409000F">
      <w:start w:val="1"/>
      <w:numFmt w:val="decimal"/>
      <w:lvlText w:val="%7."/>
      <w:lvlJc w:val="left"/>
      <w:pPr>
        <w:ind w:left="6180" w:hanging="360"/>
      </w:pPr>
    </w:lvl>
    <w:lvl w:ilvl="7" w:tplc="04090019">
      <w:start w:val="1"/>
      <w:numFmt w:val="lowerLetter"/>
      <w:lvlText w:val="%8."/>
      <w:lvlJc w:val="left"/>
      <w:pPr>
        <w:ind w:left="6900" w:hanging="360"/>
      </w:pPr>
    </w:lvl>
    <w:lvl w:ilvl="8" w:tplc="0409001B">
      <w:start w:val="1"/>
      <w:numFmt w:val="lowerRoman"/>
      <w:lvlText w:val="%9."/>
      <w:lvlJc w:val="right"/>
      <w:pPr>
        <w:ind w:left="7620" w:hanging="180"/>
      </w:pPr>
    </w:lvl>
  </w:abstractNum>
  <w:abstractNum w:abstractNumId="7" w15:restartNumberingAfterBreak="0">
    <w:nsid w:val="723A60DA"/>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7E4562AD"/>
    <w:multiLevelType w:val="hybridMultilevel"/>
    <w:tmpl w:val="BEAEB396"/>
    <w:lvl w:ilvl="0" w:tplc="FFFFFFFF">
      <w:start w:val="1"/>
      <w:numFmt w:val="lowerLetter"/>
      <w:lvlText w:val="%1)"/>
      <w:lvlJc w:val="left"/>
      <w:pPr>
        <w:ind w:left="1860" w:hanging="360"/>
      </w:pPr>
      <w:rPr>
        <w:b/>
      </w:rPr>
    </w:lvl>
    <w:lvl w:ilvl="1" w:tplc="FFFFFFFF">
      <w:start w:val="1"/>
      <w:numFmt w:val="lowerLetter"/>
      <w:lvlText w:val="%2."/>
      <w:lvlJc w:val="left"/>
      <w:pPr>
        <w:ind w:left="2580" w:hanging="360"/>
      </w:pPr>
    </w:lvl>
    <w:lvl w:ilvl="2" w:tplc="FFFFFFFF">
      <w:start w:val="1"/>
      <w:numFmt w:val="lowerRoman"/>
      <w:lvlText w:val="%3."/>
      <w:lvlJc w:val="right"/>
      <w:pPr>
        <w:ind w:left="3300" w:hanging="180"/>
      </w:pPr>
    </w:lvl>
    <w:lvl w:ilvl="3" w:tplc="FFFFFFFF">
      <w:start w:val="1"/>
      <w:numFmt w:val="decimal"/>
      <w:lvlText w:val="%4."/>
      <w:lvlJc w:val="left"/>
      <w:pPr>
        <w:ind w:left="4020" w:hanging="360"/>
      </w:pPr>
    </w:lvl>
    <w:lvl w:ilvl="4" w:tplc="FFFFFFFF">
      <w:start w:val="1"/>
      <w:numFmt w:val="lowerLetter"/>
      <w:lvlText w:val="%5."/>
      <w:lvlJc w:val="left"/>
      <w:pPr>
        <w:ind w:left="4740" w:hanging="360"/>
      </w:pPr>
    </w:lvl>
    <w:lvl w:ilvl="5" w:tplc="FFFFFFFF">
      <w:start w:val="1"/>
      <w:numFmt w:val="lowerRoman"/>
      <w:lvlText w:val="%6."/>
      <w:lvlJc w:val="right"/>
      <w:pPr>
        <w:ind w:left="5460" w:hanging="180"/>
      </w:pPr>
    </w:lvl>
    <w:lvl w:ilvl="6" w:tplc="FFFFFFFF">
      <w:start w:val="1"/>
      <w:numFmt w:val="decimal"/>
      <w:lvlText w:val="%7."/>
      <w:lvlJc w:val="left"/>
      <w:pPr>
        <w:ind w:left="6180" w:hanging="360"/>
      </w:pPr>
    </w:lvl>
    <w:lvl w:ilvl="7" w:tplc="FFFFFFFF">
      <w:start w:val="1"/>
      <w:numFmt w:val="lowerLetter"/>
      <w:lvlText w:val="%8."/>
      <w:lvlJc w:val="left"/>
      <w:pPr>
        <w:ind w:left="6900" w:hanging="360"/>
      </w:pPr>
    </w:lvl>
    <w:lvl w:ilvl="8" w:tplc="FFFFFFFF">
      <w:start w:val="1"/>
      <w:numFmt w:val="lowerRoman"/>
      <w:lvlText w:val="%9."/>
      <w:lvlJc w:val="right"/>
      <w:pPr>
        <w:ind w:left="7620" w:hanging="180"/>
      </w:pPr>
    </w:lvl>
  </w:abstractNum>
  <w:num w:numId="1">
    <w:abstractNumId w:val="4"/>
  </w:num>
  <w:num w:numId="2">
    <w:abstractNumId w:val="7"/>
  </w:num>
  <w:num w:numId="3">
    <w:abstractNumId w:val="1"/>
  </w:num>
  <w:num w:numId="4">
    <w:abstractNumId w:val="2"/>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F85"/>
    <w:rsid w:val="00002D6E"/>
    <w:rsid w:val="000201F6"/>
    <w:rsid w:val="000600B8"/>
    <w:rsid w:val="00085B55"/>
    <w:rsid w:val="00090741"/>
    <w:rsid w:val="000C4728"/>
    <w:rsid w:val="000E28E4"/>
    <w:rsid w:val="00101422"/>
    <w:rsid w:val="00113DFD"/>
    <w:rsid w:val="001507F2"/>
    <w:rsid w:val="00153233"/>
    <w:rsid w:val="00182D40"/>
    <w:rsid w:val="00194702"/>
    <w:rsid w:val="001A426D"/>
    <w:rsid w:val="001C55D5"/>
    <w:rsid w:val="00212B6C"/>
    <w:rsid w:val="00226D77"/>
    <w:rsid w:val="002B088A"/>
    <w:rsid w:val="002B6F96"/>
    <w:rsid w:val="002C7114"/>
    <w:rsid w:val="002E3F58"/>
    <w:rsid w:val="00300A06"/>
    <w:rsid w:val="00303713"/>
    <w:rsid w:val="00324004"/>
    <w:rsid w:val="003B25C1"/>
    <w:rsid w:val="003E5F1B"/>
    <w:rsid w:val="00427532"/>
    <w:rsid w:val="00450F9F"/>
    <w:rsid w:val="004B0B3D"/>
    <w:rsid w:val="004C399D"/>
    <w:rsid w:val="004D497B"/>
    <w:rsid w:val="004E5210"/>
    <w:rsid w:val="004F39C1"/>
    <w:rsid w:val="004F671D"/>
    <w:rsid w:val="00575379"/>
    <w:rsid w:val="00577762"/>
    <w:rsid w:val="005E6ECF"/>
    <w:rsid w:val="0061231B"/>
    <w:rsid w:val="0069190B"/>
    <w:rsid w:val="006C7626"/>
    <w:rsid w:val="006D1310"/>
    <w:rsid w:val="006F7201"/>
    <w:rsid w:val="00712358"/>
    <w:rsid w:val="00752F27"/>
    <w:rsid w:val="007A66ED"/>
    <w:rsid w:val="007E6E12"/>
    <w:rsid w:val="0080236E"/>
    <w:rsid w:val="00864017"/>
    <w:rsid w:val="00866759"/>
    <w:rsid w:val="00944E6C"/>
    <w:rsid w:val="009B0DF0"/>
    <w:rsid w:val="00A577F5"/>
    <w:rsid w:val="00A71C5F"/>
    <w:rsid w:val="00B03BB1"/>
    <w:rsid w:val="00B61623"/>
    <w:rsid w:val="00B633A0"/>
    <w:rsid w:val="00B64431"/>
    <w:rsid w:val="00BA008E"/>
    <w:rsid w:val="00C32BBA"/>
    <w:rsid w:val="00C72FF1"/>
    <w:rsid w:val="00CC3F85"/>
    <w:rsid w:val="00CF7772"/>
    <w:rsid w:val="00D4748E"/>
    <w:rsid w:val="00D8119C"/>
    <w:rsid w:val="00D967C8"/>
    <w:rsid w:val="00D97FEF"/>
    <w:rsid w:val="00E06CF7"/>
    <w:rsid w:val="00E863BC"/>
    <w:rsid w:val="00EE0FD8"/>
    <w:rsid w:val="00EE4024"/>
    <w:rsid w:val="00F0513C"/>
    <w:rsid w:val="00F42DB3"/>
    <w:rsid w:val="00F76B83"/>
    <w:rsid w:val="00FF140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1EE3F"/>
  <w15:chartTrackingRefBased/>
  <w15:docId w15:val="{95782929-F0E2-49CB-ABD1-5C3A32B8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77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3F85"/>
    <w:pPr>
      <w:autoSpaceDE w:val="0"/>
      <w:autoSpaceDN w:val="0"/>
      <w:adjustRightInd w:val="0"/>
      <w:spacing w:after="0" w:line="240" w:lineRule="auto"/>
    </w:pPr>
    <w:rPr>
      <w:rFonts w:ascii="Arial" w:hAnsi="Arial" w:cs="Arial"/>
      <w:color w:val="000000"/>
      <w:sz w:val="24"/>
      <w:szCs w:val="24"/>
      <w:lang w:bidi="hi-IN"/>
    </w:rPr>
  </w:style>
  <w:style w:type="paragraph" w:styleId="Header">
    <w:name w:val="header"/>
    <w:basedOn w:val="Normal"/>
    <w:link w:val="HeaderChar"/>
    <w:uiPriority w:val="99"/>
    <w:unhideWhenUsed/>
    <w:rsid w:val="00944E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4E6C"/>
  </w:style>
  <w:style w:type="paragraph" w:styleId="Footer">
    <w:name w:val="footer"/>
    <w:basedOn w:val="Normal"/>
    <w:link w:val="FooterChar"/>
    <w:uiPriority w:val="99"/>
    <w:unhideWhenUsed/>
    <w:rsid w:val="00944E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4E6C"/>
  </w:style>
  <w:style w:type="character" w:styleId="Hyperlink">
    <w:name w:val="Hyperlink"/>
    <w:rsid w:val="004D497B"/>
    <w:rPr>
      <w:rFonts w:cs="Times New Roman"/>
      <w:color w:val="0000FF"/>
      <w:u w:val="single"/>
    </w:rPr>
  </w:style>
  <w:style w:type="paragraph" w:customStyle="1" w:styleId="TableParagraph">
    <w:name w:val="Table Paragraph"/>
    <w:basedOn w:val="Normal"/>
    <w:uiPriority w:val="1"/>
    <w:qFormat/>
    <w:rsid w:val="001A426D"/>
    <w:pPr>
      <w:widowControl w:val="0"/>
      <w:autoSpaceDE w:val="0"/>
      <w:autoSpaceDN w:val="0"/>
      <w:spacing w:after="0" w:line="240" w:lineRule="auto"/>
    </w:pPr>
    <w:rPr>
      <w:rFonts w:ascii="Calibri" w:eastAsia="Calibri" w:hAnsi="Calibri" w:cs="Calibri"/>
    </w:rPr>
  </w:style>
  <w:style w:type="paragraph" w:styleId="BalloonText">
    <w:name w:val="Balloon Text"/>
    <w:basedOn w:val="Normal"/>
    <w:link w:val="BalloonTextChar"/>
    <w:uiPriority w:val="99"/>
    <w:semiHidden/>
    <w:unhideWhenUsed/>
    <w:rsid w:val="00F7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B83"/>
    <w:rPr>
      <w:rFonts w:ascii="Segoe UI" w:hAnsi="Segoe UI" w:cs="Segoe UI"/>
      <w:sz w:val="18"/>
      <w:szCs w:val="18"/>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C72FF1"/>
    <w:pPr>
      <w:widowControl w:val="0"/>
      <w:autoSpaceDE w:val="0"/>
      <w:autoSpaceDN w:val="0"/>
      <w:spacing w:after="0" w:line="240" w:lineRule="auto"/>
    </w:pPr>
    <w:rPr>
      <w:rFonts w:ascii="Cambria" w:eastAsia="Cambria" w:hAnsi="Cambria" w:cs="Cambria"/>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C72FF1"/>
    <w:rPr>
      <w:rFonts w:ascii="Cambria" w:eastAsia="Cambria" w:hAnsi="Cambria" w:cs="Cambria"/>
    </w:rPr>
  </w:style>
  <w:style w:type="character" w:styleId="UnresolvedMention">
    <w:name w:val="Unresolved Mention"/>
    <w:basedOn w:val="DefaultParagraphFont"/>
    <w:uiPriority w:val="99"/>
    <w:semiHidden/>
    <w:unhideWhenUsed/>
    <w:rsid w:val="002B0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09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neesh.jharwal@powergrid.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rendra2@powergrid.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neesh.jharwal@powergrid.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virendra2@powergrid.i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FF240-2181-444C-9753-3D51FE5B4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39</cp:revision>
  <cp:lastPrinted>2022-12-09T08:38:00Z</cp:lastPrinted>
  <dcterms:created xsi:type="dcterms:W3CDTF">2022-10-13T09:31:00Z</dcterms:created>
  <dcterms:modified xsi:type="dcterms:W3CDTF">2022-12-12T03:20:00Z</dcterms:modified>
</cp:coreProperties>
</file>