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42A5D8CB" w14:textId="2C01E355" w:rsidR="00132305" w:rsidRPr="00132305" w:rsidRDefault="00132305" w:rsidP="00132305">
      <w:pPr>
        <w:jc w:val="center"/>
        <w:rPr>
          <w:rFonts w:ascii="Book Antiqua" w:hAnsi="Book Antiqua" w:cs="Arial"/>
          <w:b/>
          <w:bCs/>
          <w:color w:val="365F91" w:themeColor="accent1" w:themeShade="BF"/>
          <w:sz w:val="22"/>
          <w:szCs w:val="22"/>
        </w:rPr>
      </w:pPr>
      <w:r w:rsidRPr="00132305">
        <w:rPr>
          <w:rFonts w:ascii="Book Antiqua" w:hAnsi="Book Antiqua" w:cs="Arial"/>
          <w:b/>
          <w:bCs/>
          <w:color w:val="365F91" w:themeColor="accent1" w:themeShade="BF"/>
          <w:sz w:val="22"/>
          <w:szCs w:val="22"/>
        </w:rPr>
        <w:t>Appointment of Independent Engineer for “Transmission System under ISTS for</w:t>
      </w:r>
      <w:r w:rsidR="000F5FCC">
        <w:rPr>
          <w:rFonts w:ascii="Book Antiqua" w:hAnsi="Book Antiqua" w:cs="Arial"/>
          <w:b/>
          <w:bCs/>
          <w:color w:val="365F91" w:themeColor="accent1" w:themeShade="BF"/>
          <w:sz w:val="22"/>
          <w:szCs w:val="22"/>
        </w:rPr>
        <w:t xml:space="preserve"> </w:t>
      </w:r>
      <w:r w:rsidRPr="00132305">
        <w:rPr>
          <w:rFonts w:ascii="Book Antiqua" w:hAnsi="Book Antiqua" w:cs="Arial"/>
          <w:b/>
          <w:bCs/>
          <w:color w:val="365F91" w:themeColor="accent1" w:themeShade="BF"/>
          <w:sz w:val="22"/>
          <w:szCs w:val="22"/>
        </w:rPr>
        <w:t xml:space="preserve">evacuation of power from </w:t>
      </w:r>
      <w:proofErr w:type="spellStart"/>
      <w:r w:rsidRPr="00132305">
        <w:rPr>
          <w:rFonts w:ascii="Book Antiqua" w:hAnsi="Book Antiqua" w:cs="Arial"/>
          <w:b/>
          <w:bCs/>
          <w:color w:val="365F91" w:themeColor="accent1" w:themeShade="BF"/>
          <w:sz w:val="22"/>
          <w:szCs w:val="22"/>
        </w:rPr>
        <w:t>Kudankulam</w:t>
      </w:r>
      <w:proofErr w:type="spellEnd"/>
      <w:r w:rsidRPr="00132305">
        <w:rPr>
          <w:rFonts w:ascii="Book Antiqua" w:hAnsi="Book Antiqua" w:cs="Arial"/>
          <w:b/>
          <w:bCs/>
          <w:color w:val="365F91" w:themeColor="accent1" w:themeShade="BF"/>
          <w:sz w:val="22"/>
          <w:szCs w:val="22"/>
        </w:rPr>
        <w:t xml:space="preserve"> Unit - 3 and 4 (2x1000 MW)”.</w:t>
      </w:r>
    </w:p>
    <w:p w14:paraId="6F7AB929" w14:textId="77777777" w:rsidR="00132305" w:rsidRPr="00132305" w:rsidRDefault="00132305" w:rsidP="00132305">
      <w:pPr>
        <w:jc w:val="center"/>
        <w:rPr>
          <w:rFonts w:ascii="Book Antiqua" w:hAnsi="Book Antiqua" w:cs="Arial"/>
          <w:b/>
          <w:bCs/>
          <w:color w:val="365F91" w:themeColor="accent1" w:themeShade="BF"/>
          <w:sz w:val="22"/>
          <w:szCs w:val="22"/>
        </w:rPr>
      </w:pPr>
    </w:p>
    <w:p w14:paraId="3C112A7C" w14:textId="4B3347FD" w:rsidR="00F5238E" w:rsidRDefault="00132305" w:rsidP="00132305">
      <w:pPr>
        <w:jc w:val="center"/>
        <w:rPr>
          <w:rFonts w:ascii="Book Antiqua" w:hAnsi="Book Antiqua" w:cs="Arial"/>
          <w:b/>
          <w:bCs/>
          <w:sz w:val="22"/>
          <w:szCs w:val="22"/>
        </w:rPr>
      </w:pPr>
      <w:r w:rsidRPr="00132305">
        <w:rPr>
          <w:rFonts w:ascii="Book Antiqua" w:hAnsi="Book Antiqua" w:cs="Arial"/>
          <w:b/>
          <w:bCs/>
          <w:color w:val="365F91" w:themeColor="accent1" w:themeShade="BF"/>
          <w:sz w:val="22"/>
          <w:szCs w:val="22"/>
        </w:rPr>
        <w:t>(</w:t>
      </w:r>
      <w:r w:rsidR="00CB2888" w:rsidRPr="00CB2888">
        <w:rPr>
          <w:rFonts w:ascii="Book Antiqua" w:hAnsi="Book Antiqua" w:cs="Arial"/>
          <w:b/>
          <w:bCs/>
          <w:color w:val="365F91" w:themeColor="accent1" w:themeShade="BF"/>
          <w:sz w:val="22"/>
          <w:szCs w:val="22"/>
        </w:rPr>
        <w:t>Spec. No. CTUIL/IE/2025-26/67/R1</w:t>
      </w:r>
      <w:r w:rsidRPr="00132305">
        <w:rPr>
          <w:rFonts w:ascii="Book Antiqua" w:hAnsi="Book Antiqua" w:cs="Arial"/>
          <w:b/>
          <w:bCs/>
          <w:color w:val="365F91" w:themeColor="accent1" w:themeShade="BF"/>
          <w:sz w:val="22"/>
          <w:szCs w:val="22"/>
        </w:rPr>
        <w:t>)</w:t>
      </w: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4C67C6D2" w14:textId="77777777" w:rsidR="007F5C6C" w:rsidRDefault="007F5C6C" w:rsidP="008C1547">
      <w:pPr>
        <w:ind w:left="1134" w:hanging="1003"/>
        <w:jc w:val="both"/>
        <w:rPr>
          <w:rFonts w:ascii="Book Antiqua" w:hAnsi="Book Antiqua" w:cs="Arial"/>
          <w:bCs/>
          <w:strike/>
          <w:sz w:val="22"/>
          <w:szCs w:val="22"/>
        </w:rPr>
      </w:pPr>
    </w:p>
    <w:p w14:paraId="007C137D" w14:textId="6CCC327E" w:rsidR="00F25C6C"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842C94" w:rsidRPr="00842C94">
        <w:rPr>
          <w:rFonts w:ascii="Book Antiqua" w:hAnsi="Book Antiqua"/>
          <w:sz w:val="22"/>
          <w:szCs w:val="22"/>
        </w:rPr>
        <w:t>The bidder shall not engage same Project Manager, Transmission line Expert &amp; Substation Expert in more than 4 (four) nos. of active contracts</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791D47F0" w14:textId="77777777" w:rsidR="00842C94" w:rsidRDefault="00842C94" w:rsidP="008C1547">
      <w:pPr>
        <w:ind w:left="1134" w:hanging="1003"/>
        <w:jc w:val="both"/>
        <w:rPr>
          <w:rFonts w:ascii="Book Antiqua" w:hAnsi="Book Antiqua"/>
          <w:sz w:val="22"/>
          <w:szCs w:val="22"/>
        </w:rPr>
      </w:pPr>
    </w:p>
    <w:p w14:paraId="44B982B7" w14:textId="77777777" w:rsidR="00C031F5" w:rsidRPr="00C031F5" w:rsidRDefault="00C031F5" w:rsidP="00C031F5">
      <w:pPr>
        <w:ind w:left="1134" w:hanging="1003"/>
        <w:jc w:val="both"/>
        <w:rPr>
          <w:rFonts w:ascii="Book Antiqua" w:hAnsi="Book Antiqua"/>
          <w:sz w:val="22"/>
          <w:szCs w:val="22"/>
        </w:rPr>
      </w:pPr>
      <w:r w:rsidRPr="00C031F5">
        <w:rPr>
          <w:rFonts w:ascii="Book Antiqua" w:hAnsi="Book Antiqua"/>
          <w:sz w:val="22"/>
          <w:szCs w:val="22"/>
        </w:rPr>
        <w:t xml:space="preserve">Note: </w:t>
      </w:r>
    </w:p>
    <w:p w14:paraId="1BD88737" w14:textId="77777777" w:rsidR="00C031F5" w:rsidRPr="00C031F5" w:rsidRDefault="00C031F5" w:rsidP="00C031F5">
      <w:pPr>
        <w:ind w:left="1134" w:hanging="1003"/>
        <w:jc w:val="both"/>
        <w:rPr>
          <w:rFonts w:ascii="Book Antiqua" w:hAnsi="Book Antiqua"/>
          <w:sz w:val="22"/>
          <w:szCs w:val="22"/>
        </w:rPr>
      </w:pPr>
    </w:p>
    <w:p w14:paraId="5CC80F90" w14:textId="77777777" w:rsidR="00C031F5" w:rsidRPr="00C031F5" w:rsidRDefault="00C031F5" w:rsidP="00C031F5">
      <w:pPr>
        <w:ind w:left="1134" w:hanging="1003"/>
        <w:jc w:val="both"/>
        <w:rPr>
          <w:rFonts w:ascii="Book Antiqua" w:hAnsi="Book Antiqua"/>
          <w:sz w:val="22"/>
          <w:szCs w:val="22"/>
        </w:rPr>
      </w:pPr>
      <w:r w:rsidRPr="00C031F5">
        <w:rPr>
          <w:rFonts w:ascii="Book Antiqua" w:hAnsi="Book Antiqua"/>
          <w:sz w:val="22"/>
          <w:szCs w:val="22"/>
        </w:rPr>
        <w:t>(</w:t>
      </w:r>
      <w:proofErr w:type="spellStart"/>
      <w:r w:rsidRPr="00C031F5">
        <w:rPr>
          <w:rFonts w:ascii="Book Antiqua" w:hAnsi="Book Antiqua"/>
          <w:sz w:val="22"/>
          <w:szCs w:val="22"/>
        </w:rPr>
        <w:t>i</w:t>
      </w:r>
      <w:proofErr w:type="spellEnd"/>
      <w:r w:rsidRPr="00C031F5">
        <w:rPr>
          <w:rFonts w:ascii="Book Antiqua" w:hAnsi="Book Antiqua"/>
          <w:sz w:val="22"/>
          <w:szCs w:val="22"/>
        </w:rPr>
        <w:t>)</w:t>
      </w:r>
      <w:r w:rsidRPr="00C031F5">
        <w:rPr>
          <w:rFonts w:ascii="Book Antiqua" w:hAnsi="Book Antiqua"/>
          <w:sz w:val="22"/>
          <w:szCs w:val="22"/>
        </w:rPr>
        <w:tab/>
        <w:t>Bidder shall be considered non-responsive in Techno-commercial bid evaluation if they fail to meet the criteria mentioned at cl. 2.6.0 above as on the originally schedule date of bid submission.</w:t>
      </w:r>
    </w:p>
    <w:p w14:paraId="0209E534" w14:textId="77777777" w:rsidR="00C031F5" w:rsidRPr="00C031F5" w:rsidRDefault="00C031F5" w:rsidP="00C031F5">
      <w:pPr>
        <w:ind w:left="1134" w:hanging="1003"/>
        <w:jc w:val="both"/>
        <w:rPr>
          <w:rFonts w:ascii="Book Antiqua" w:hAnsi="Book Antiqua"/>
          <w:sz w:val="22"/>
          <w:szCs w:val="22"/>
        </w:rPr>
      </w:pPr>
    </w:p>
    <w:p w14:paraId="50AA9FDB" w14:textId="77777777" w:rsidR="00C031F5" w:rsidRPr="00C031F5" w:rsidRDefault="00C031F5" w:rsidP="00C031F5">
      <w:pPr>
        <w:ind w:left="1134" w:hanging="1003"/>
        <w:jc w:val="both"/>
        <w:rPr>
          <w:rFonts w:ascii="Book Antiqua" w:hAnsi="Book Antiqua"/>
          <w:sz w:val="22"/>
          <w:szCs w:val="22"/>
        </w:rPr>
      </w:pPr>
      <w:r w:rsidRPr="00C031F5">
        <w:rPr>
          <w:rFonts w:ascii="Book Antiqua" w:hAnsi="Book Antiqua"/>
          <w:sz w:val="22"/>
          <w:szCs w:val="22"/>
        </w:rPr>
        <w:t>(ii)</w:t>
      </w:r>
      <w:r w:rsidRPr="00C031F5">
        <w:rPr>
          <w:rFonts w:ascii="Book Antiqua" w:hAnsi="Book Antiqua"/>
          <w:sz w:val="22"/>
          <w:szCs w:val="22"/>
        </w:rPr>
        <w:tab/>
        <w:t>Further, the criteria mentioned at cl. 2.6.0 will also be evaluated before the opening of the price bid of the subject package. The price bid of any bidder who does not meet the criteria mentioned at cl. 2.6.0 will not be opened, and their bid shall be considered non-responsive.</w:t>
      </w:r>
    </w:p>
    <w:p w14:paraId="3CC37598" w14:textId="77777777" w:rsidR="00C031F5" w:rsidRPr="00C031F5" w:rsidRDefault="00C031F5" w:rsidP="00C031F5">
      <w:pPr>
        <w:ind w:left="1134" w:hanging="1003"/>
        <w:jc w:val="both"/>
        <w:rPr>
          <w:rFonts w:ascii="Book Antiqua" w:hAnsi="Book Antiqua"/>
          <w:sz w:val="22"/>
          <w:szCs w:val="22"/>
        </w:rPr>
      </w:pPr>
    </w:p>
    <w:p w14:paraId="31831B51" w14:textId="77777777" w:rsidR="00C031F5" w:rsidRPr="00C031F5" w:rsidRDefault="00C031F5" w:rsidP="00C031F5">
      <w:pPr>
        <w:ind w:left="1134" w:hanging="1003"/>
        <w:jc w:val="both"/>
        <w:rPr>
          <w:rFonts w:ascii="Book Antiqua" w:hAnsi="Book Antiqua"/>
          <w:sz w:val="22"/>
          <w:szCs w:val="22"/>
        </w:rPr>
      </w:pPr>
      <w:r w:rsidRPr="00C031F5">
        <w:rPr>
          <w:rFonts w:ascii="Book Antiqua" w:hAnsi="Book Antiqua"/>
          <w:sz w:val="22"/>
          <w:szCs w:val="22"/>
        </w:rPr>
        <w:t>(iii)</w:t>
      </w:r>
      <w:r w:rsidRPr="00C031F5">
        <w:rPr>
          <w:rFonts w:ascii="Book Antiqua" w:hAnsi="Book Antiqua"/>
          <w:sz w:val="22"/>
          <w:szCs w:val="22"/>
        </w:rPr>
        <w:tab/>
        <w:t>If, after the price bid opening of other Independent Engineer packages, the bidder falls within the zone of consideration (i.e., the proposal for award is under approval of competent authority), then that package shall be treated as an active contract for the purpose of evaluation.</w:t>
      </w:r>
    </w:p>
    <w:p w14:paraId="0DBBB6C4" w14:textId="77777777" w:rsidR="00C031F5" w:rsidRPr="00C031F5" w:rsidRDefault="00C031F5" w:rsidP="00C031F5">
      <w:pPr>
        <w:ind w:left="1134" w:hanging="1003"/>
        <w:jc w:val="both"/>
        <w:rPr>
          <w:rFonts w:ascii="Book Antiqua" w:hAnsi="Book Antiqua"/>
          <w:sz w:val="22"/>
          <w:szCs w:val="22"/>
        </w:rPr>
      </w:pPr>
    </w:p>
    <w:p w14:paraId="6B795038" w14:textId="1E190091" w:rsidR="00842C94" w:rsidRPr="00BD6B1F" w:rsidRDefault="00C031F5" w:rsidP="00C031F5">
      <w:pPr>
        <w:ind w:left="1134" w:hanging="1003"/>
        <w:jc w:val="both"/>
        <w:rPr>
          <w:rFonts w:ascii="Book Antiqua" w:hAnsi="Book Antiqua"/>
          <w:sz w:val="22"/>
          <w:szCs w:val="22"/>
        </w:rPr>
      </w:pPr>
      <w:r w:rsidRPr="00C031F5">
        <w:rPr>
          <w:rFonts w:ascii="Book Antiqua" w:hAnsi="Book Antiqua"/>
          <w:sz w:val="22"/>
          <w:szCs w:val="22"/>
        </w:rPr>
        <w:t>(iv)</w:t>
      </w:r>
      <w:r w:rsidRPr="00C031F5">
        <w:rPr>
          <w:rFonts w:ascii="Book Antiqua" w:hAnsi="Book Antiqua"/>
          <w:sz w:val="22"/>
          <w:szCs w:val="22"/>
        </w:rPr>
        <w:tab/>
      </w:r>
      <w:r w:rsidR="00EA6E78" w:rsidRPr="00EA6E78">
        <w:rPr>
          <w:rFonts w:ascii="Book Antiqua" w:hAnsi="Book Antiqua"/>
          <w:sz w:val="22"/>
          <w:szCs w:val="22"/>
        </w:rPr>
        <w:t>If a situation arises where the price bid of more than four packages involving the same expert are to be opened after the first envelope bid evaluation for a particular bidder, the price bids of such packages will be opened sequentially. The bid shall be opened in the sequence of actual date and time of the opening of first envelope bid for those packages.</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09FE926B" w14:textId="77777777" w:rsidR="00C031F5" w:rsidRDefault="00C031F5" w:rsidP="008C1547">
      <w:pPr>
        <w:ind w:left="1134" w:hanging="1003"/>
        <w:jc w:val="both"/>
        <w:rPr>
          <w:rFonts w:ascii="Book Antiqua" w:hAnsi="Book Antiqua"/>
          <w:sz w:val="22"/>
          <w:szCs w:val="22"/>
        </w:rPr>
      </w:pPr>
    </w:p>
    <w:p w14:paraId="7014A1E6" w14:textId="589FC7CF" w:rsidR="00C031F5" w:rsidRPr="00B33209" w:rsidRDefault="00C031F5" w:rsidP="008C1547">
      <w:pPr>
        <w:ind w:left="1134" w:hanging="1003"/>
        <w:jc w:val="both"/>
        <w:rPr>
          <w:rFonts w:ascii="Book Antiqua" w:hAnsi="Book Antiqua"/>
          <w:sz w:val="22"/>
          <w:szCs w:val="22"/>
        </w:rPr>
      </w:pPr>
      <w:r>
        <w:rPr>
          <w:rFonts w:ascii="Book Antiqua" w:hAnsi="Book Antiqua"/>
          <w:sz w:val="22"/>
          <w:szCs w:val="22"/>
        </w:rPr>
        <w:t>2.9.0</w:t>
      </w:r>
      <w:r w:rsidR="00B33209" w:rsidRPr="00B33209">
        <w:t xml:space="preserve"> </w:t>
      </w:r>
      <w:r w:rsidR="00B33209">
        <w:rPr>
          <w:rFonts w:ascii="Book Antiqua" w:hAnsi="Book Antiqua"/>
          <w:sz w:val="22"/>
          <w:szCs w:val="22"/>
        </w:rPr>
        <w:tab/>
      </w:r>
      <w:r w:rsidR="00B33209" w:rsidRPr="00B33209">
        <w:rPr>
          <w:rFonts w:ascii="Book Antiqua" w:hAnsi="Book Antiqua"/>
          <w:sz w:val="22"/>
          <w:szCs w:val="22"/>
        </w:rPr>
        <w:t>A Field Engineer shall be deployed at only one site at a time. If a Field Engineer is already posted at a particular site, the same individual shall not be proposed for deployment in any other package. If any bidder proposes a Field Engineer who is already deployed in another package, the bid shall be considered non-responsive and shall be liable for rejection.</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w:t>
      </w:r>
      <w:r w:rsidRPr="00D96D43">
        <w:rPr>
          <w:rFonts w:ascii="Book Antiqua" w:hAnsi="Book Antiqua" w:cs="Arial"/>
          <w:color w:val="000000"/>
          <w:sz w:val="22"/>
          <w:szCs w:val="22"/>
        </w:rPr>
        <w:lastRenderedPageBreak/>
        <w:t xml:space="preserve">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lastRenderedPageBreak/>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lastRenderedPageBreak/>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 line with the PPP-MII order, the bidder shall submit the Affidavit of self-certification, in original, indicating </w:t>
            </w:r>
            <w:r w:rsidRPr="00FC0343">
              <w:rPr>
                <w:rFonts w:ascii="Book Antiqua" w:hAnsi="Book Antiqua" w:cs="Arial"/>
                <w:sz w:val="22"/>
                <w:szCs w:val="22"/>
              </w:rPr>
              <w:lastRenderedPageBreak/>
              <w:t>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lastRenderedPageBreak/>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 xml:space="preserve">)to(viii)] of General Terms and Conditions on </w:t>
      </w:r>
      <w:proofErr w:type="spellStart"/>
      <w:r w:rsidR="005A0738" w:rsidRPr="005A0738">
        <w:rPr>
          <w:rFonts w:ascii="Book Antiqua" w:hAnsi="Book Antiqua" w:cs="Arial"/>
          <w:spacing w:val="-2"/>
          <w:sz w:val="22"/>
          <w:szCs w:val="22"/>
        </w:rPr>
        <w:t>GeM</w:t>
      </w:r>
      <w:proofErr w:type="spellEnd"/>
      <w:r w:rsidR="005A0738" w:rsidRPr="005A0738">
        <w:rPr>
          <w:rFonts w:ascii="Book Antiqua" w:hAnsi="Book Antiqua" w:cs="Arial"/>
          <w:spacing w:val="-2"/>
          <w:sz w:val="22"/>
          <w:szCs w:val="22"/>
        </w:rPr>
        <w:t xml:space="preserve">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 xml:space="preserve">by a foreign bank or a subsidiary of a foreign bank, acceptable to the Employer, with overall international corporate rating or rating of long-term debt not less than A- (A minus) or equivalent by a reputed rating agency. Further, the Bank Guarantee should be confirmed </w:t>
      </w:r>
      <w:r w:rsidRPr="00221C48">
        <w:rPr>
          <w:rFonts w:ascii="Book Antiqua" w:hAnsi="Book Antiqua" w:cs="Arial"/>
          <w:spacing w:val="-2"/>
          <w:sz w:val="22"/>
          <w:szCs w:val="22"/>
        </w:rPr>
        <w:lastRenderedPageBreak/>
        <w:t>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r w:rsidRPr="00D605F5">
        <w:rPr>
          <w:rFonts w:ascii="Book Antiqua" w:hAnsi="Book Antiqua" w:cs="Arial"/>
          <w:spacing w:val="-2"/>
          <w:sz w:val="22"/>
          <w:szCs w:val="22"/>
        </w:rPr>
        <w:t>upto</w:t>
      </w:r>
      <w:proofErr w:type="spell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lastRenderedPageBreak/>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get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 xml:space="preserve">accept </w:t>
      </w:r>
      <w:proofErr w:type="spellStart"/>
      <w:r w:rsidR="004978FF" w:rsidRPr="00002603">
        <w:rPr>
          <w:rFonts w:ascii="Book Antiqua" w:hAnsi="Book Antiqua" w:cs="Arial"/>
          <w:spacing w:val="-2"/>
          <w:sz w:val="22"/>
          <w:szCs w:val="22"/>
        </w:rPr>
        <w:t>GeM</w:t>
      </w:r>
      <w:proofErr w:type="spellEnd"/>
      <w:r w:rsidR="004978FF" w:rsidRPr="00002603">
        <w:rPr>
          <w:rFonts w:ascii="Book Antiqua" w:hAnsi="Book Antiqua" w:cs="Arial"/>
          <w:spacing w:val="-2"/>
          <w:sz w:val="22"/>
          <w:szCs w:val="22"/>
        </w:rPr>
        <w:t xml:space="preserve">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w:t>
      </w:r>
      <w:r w:rsidR="003E7324" w:rsidRPr="00FC0343">
        <w:rPr>
          <w:rFonts w:ascii="Book Antiqua" w:hAnsi="Book Antiqua" w:cs="Arial"/>
          <w:sz w:val="22"/>
          <w:szCs w:val="22"/>
        </w:rPr>
        <w:lastRenderedPageBreak/>
        <w:t xml:space="preserve">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20C9FDB" w14:textId="2C47777D"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Rahul (Manager, C&amp;M-CTUIL)</w:t>
      </w:r>
      <w:r w:rsidR="005175C9">
        <w:rPr>
          <w:rFonts w:ascii="Book Antiqua" w:eastAsiaTheme="minorHAnsi" w:hAnsi="Book Antiqua" w:cstheme="minorBidi"/>
          <w:b/>
          <w:bCs/>
          <w:sz w:val="22"/>
          <w:szCs w:val="22"/>
          <w:lang w:val="en-GB"/>
        </w:rPr>
        <w:t>/</w:t>
      </w:r>
    </w:p>
    <w:p w14:paraId="70B711B1" w14:textId="4B50DB44" w:rsidR="005175C9" w:rsidRDefault="005175C9" w:rsidP="00132305">
      <w:pPr>
        <w:ind w:left="1080"/>
        <w:jc w:val="both"/>
        <w:rPr>
          <w:rFonts w:ascii="Book Antiqua" w:eastAsiaTheme="minorHAnsi" w:hAnsi="Book Antiqua" w:cstheme="minorBidi"/>
          <w:b/>
          <w:bCs/>
          <w:sz w:val="22"/>
          <w:szCs w:val="22"/>
          <w:lang w:val="en-GB"/>
        </w:rPr>
      </w:pPr>
      <w:r>
        <w:rPr>
          <w:rFonts w:ascii="Book Antiqua" w:eastAsiaTheme="minorHAnsi" w:hAnsi="Book Antiqua" w:cstheme="minorBidi"/>
          <w:b/>
          <w:bCs/>
          <w:sz w:val="22"/>
          <w:szCs w:val="22"/>
          <w:lang w:val="en-GB"/>
        </w:rPr>
        <w:t xml:space="preserve">                              Mr. Akhil Dubey</w:t>
      </w:r>
      <w:r w:rsidR="0024531B">
        <w:rPr>
          <w:rFonts w:ascii="Book Antiqua" w:eastAsiaTheme="minorHAnsi" w:hAnsi="Book Antiqua" w:cstheme="minorBidi"/>
          <w:b/>
          <w:bCs/>
          <w:sz w:val="22"/>
          <w:szCs w:val="22"/>
          <w:lang w:val="en-GB"/>
        </w:rPr>
        <w:t xml:space="preserve"> </w:t>
      </w:r>
      <w:r>
        <w:rPr>
          <w:rFonts w:ascii="Book Antiqua" w:eastAsiaTheme="minorHAnsi" w:hAnsi="Book Antiqua" w:cstheme="minorBidi"/>
          <w:b/>
          <w:bCs/>
          <w:sz w:val="22"/>
          <w:szCs w:val="22"/>
          <w:lang w:val="en-GB"/>
        </w:rPr>
        <w:t>(</w:t>
      </w:r>
      <w:proofErr w:type="spellStart"/>
      <w:r>
        <w:rPr>
          <w:rFonts w:ascii="Book Antiqua" w:eastAsiaTheme="minorHAnsi" w:hAnsi="Book Antiqua" w:cstheme="minorBidi"/>
          <w:b/>
          <w:bCs/>
          <w:sz w:val="22"/>
          <w:szCs w:val="22"/>
          <w:lang w:val="en-GB"/>
        </w:rPr>
        <w:t>Engineer</w:t>
      </w:r>
      <w:r w:rsidR="0024531B">
        <w:rPr>
          <w:rFonts w:ascii="Book Antiqua" w:eastAsiaTheme="minorHAnsi" w:hAnsi="Book Antiqua" w:cstheme="minorBidi"/>
          <w:b/>
          <w:bCs/>
          <w:sz w:val="22"/>
          <w:szCs w:val="22"/>
          <w:lang w:val="en-GB"/>
        </w:rPr>
        <w:t>,C&amp;M-CTUIL</w:t>
      </w:r>
      <w:proofErr w:type="spellEnd"/>
      <w:r w:rsidR="0024531B">
        <w:rPr>
          <w:rFonts w:ascii="Book Antiqua" w:eastAsiaTheme="minorHAnsi" w:hAnsi="Book Antiqua" w:cstheme="minorBidi"/>
          <w:b/>
          <w:bCs/>
          <w:sz w:val="22"/>
          <w:szCs w:val="22"/>
          <w:lang w:val="en-GB"/>
        </w:rPr>
        <w:t>)</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6CE15495"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+91-9205472328</w:t>
      </w:r>
      <w:r w:rsidR="0024531B">
        <w:rPr>
          <w:rFonts w:ascii="Book Antiqua" w:eastAsiaTheme="minorHAnsi" w:hAnsi="Book Antiqua" w:cstheme="minorBidi"/>
          <w:b/>
          <w:bCs/>
          <w:sz w:val="22"/>
          <w:szCs w:val="22"/>
          <w:lang w:val="en-GB"/>
        </w:rPr>
        <w:t>/9027247522</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w:t>
      </w:r>
      <w:r w:rsidR="005E21DA" w:rsidRPr="00FC0343">
        <w:rPr>
          <w:rFonts w:ascii="Book Antiqua" w:hAnsi="Book Antiqua" w:cs="Arial"/>
          <w:sz w:val="22"/>
          <w:szCs w:val="22"/>
        </w:rPr>
        <w:lastRenderedPageBreak/>
        <w:t xml:space="preserve">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 xml:space="preserve">complete annual reports of Last three financial years together with Audited statement of accounts, Online Payment acknowledgment towards Bid Security (in cases where online payment has been made prior to the deadline for submission of </w:t>
      </w:r>
      <w:r w:rsidRPr="007C118A">
        <w:rPr>
          <w:rFonts w:ascii="Book Antiqua" w:hAnsi="Book Antiqua" w:cs="Arial"/>
        </w:rPr>
        <w:lastRenderedPageBreak/>
        <w:t>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 as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w:t>
      </w:r>
      <w:r w:rsidR="0036725E" w:rsidRPr="0036725E">
        <w:rPr>
          <w:rFonts w:ascii="Book Antiqua" w:hAnsi="Book Antiqua" w:cs="Arial"/>
          <w:sz w:val="22"/>
          <w:szCs w:val="22"/>
        </w:rPr>
        <w:lastRenderedPageBreak/>
        <w:t xml:space="preserve">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lastRenderedPageBreak/>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r w:rsidR="00B23838" w:rsidRPr="00B23838">
        <w:rPr>
          <w:rFonts w:ascii="Book Antiqua" w:hAnsi="Book Antiqua" w:cs="Arial"/>
          <w:sz w:val="22"/>
          <w:szCs w:val="22"/>
        </w:rPr>
        <w:t>A.TreDS</w:t>
      </w:r>
      <w:proofErr w:type="spell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lastRenderedPageBreak/>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 xml:space="preserve">In case of substitution, bidders should note that once the CV of proposed substitution is evaluated, and the experience &amp; qualifications are not better or </w:t>
      </w:r>
      <w:r w:rsidRPr="00F439EB">
        <w:rPr>
          <w:rFonts w:ascii="Book Antiqua" w:hAnsi="Book Antiqua"/>
        </w:rPr>
        <w:lastRenderedPageBreak/>
        <w:t>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lastRenderedPageBreak/>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lastRenderedPageBreak/>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w:t>
      </w:r>
      <w:r w:rsidRPr="007C0FE9">
        <w:rPr>
          <w:rFonts w:ascii="Book Antiqua" w:hAnsi="Book Antiqua" w:cs="Arial"/>
          <w:bCs/>
          <w:sz w:val="22"/>
          <w:szCs w:val="22"/>
        </w:rPr>
        <w:lastRenderedPageBreak/>
        <w:t>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lastRenderedPageBreak/>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w:t>
      </w:r>
      <w:r w:rsidRPr="007C118A">
        <w:rPr>
          <w:rFonts w:ascii="Book Antiqua" w:hAnsi="Book Antiqua"/>
          <w:sz w:val="22"/>
          <w:szCs w:val="22"/>
        </w:rPr>
        <w:lastRenderedPageBreak/>
        <w:t xml:space="preserve">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headerReference w:type="even" r:id="rId11"/>
      <w:headerReference w:type="default" r:id="rId12"/>
      <w:footerReference w:type="default" r:id="rId13"/>
      <w:headerReference w:type="first" r:id="rId14"/>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0E7C0" w14:textId="77777777" w:rsidR="00144E94" w:rsidRDefault="00144E94" w:rsidP="003E7F85">
      <w:r>
        <w:separator/>
      </w:r>
    </w:p>
  </w:endnote>
  <w:endnote w:type="continuationSeparator" w:id="0">
    <w:p w14:paraId="7A2782D3" w14:textId="77777777" w:rsidR="00144E94" w:rsidRDefault="00144E94" w:rsidP="003E7F85">
      <w:r>
        <w:continuationSeparator/>
      </w:r>
    </w:p>
  </w:endnote>
  <w:endnote w:type="continuationNotice" w:id="1">
    <w:p w14:paraId="2C17DC65" w14:textId="77777777" w:rsidR="00144E94" w:rsidRDefault="00144E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0A7EF" w14:textId="77777777" w:rsidR="00144E94" w:rsidRDefault="00144E94" w:rsidP="003E7F85">
      <w:r>
        <w:separator/>
      </w:r>
    </w:p>
  </w:footnote>
  <w:footnote w:type="continuationSeparator" w:id="0">
    <w:p w14:paraId="6FAB56F5" w14:textId="77777777" w:rsidR="00144E94" w:rsidRDefault="00144E94" w:rsidP="003E7F85">
      <w:r>
        <w:continuationSeparator/>
      </w:r>
    </w:p>
  </w:footnote>
  <w:footnote w:type="continuationNotice" w:id="1">
    <w:p w14:paraId="3438B9A8" w14:textId="77777777" w:rsidR="00144E94" w:rsidRDefault="00144E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CAB54" w14:textId="5398170C" w:rsidR="005175C9" w:rsidRDefault="005175C9">
    <w:pPr>
      <w:pStyle w:val="Header"/>
    </w:pPr>
    <w:r>
      <w:rPr>
        <w:noProof/>
      </w:rPr>
      <mc:AlternateContent>
        <mc:Choice Requires="wps">
          <w:drawing>
            <wp:anchor distT="0" distB="0" distL="0" distR="0" simplePos="0" relativeHeight="251659264" behindDoc="0" locked="0" layoutInCell="1" allowOverlap="1" wp14:anchorId="0CB90B9E" wp14:editId="24D19C9D">
              <wp:simplePos x="635" y="635"/>
              <wp:positionH relativeFrom="page">
                <wp:align>center</wp:align>
              </wp:positionH>
              <wp:positionV relativeFrom="page">
                <wp:align>top</wp:align>
              </wp:positionV>
              <wp:extent cx="2298700" cy="446405"/>
              <wp:effectExtent l="0" t="0" r="6350" b="10795"/>
              <wp:wrapNone/>
              <wp:docPr id="735569270"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4A32A5C8" w14:textId="140EBEA1" w:rsidR="005175C9" w:rsidRPr="005175C9" w:rsidRDefault="005175C9" w:rsidP="005175C9">
                          <w:pPr>
                            <w:rPr>
                              <w:rFonts w:ascii="Calibri" w:eastAsia="Calibri" w:hAnsi="Calibri" w:cs="Calibri"/>
                              <w:noProof/>
                              <w:color w:val="FF0000"/>
                            </w:rPr>
                          </w:pPr>
                          <w:r w:rsidRPr="005175C9">
                            <w:rPr>
                              <w:rFonts w:ascii="Calibri" w:eastAsia="Calibri" w:hAnsi="Calibri" w:cs="Calibri"/>
                              <w:noProof/>
                              <w:color w:val="FF0000"/>
                              <w:cs/>
                              <w:lang w:bidi="hi-IN"/>
                            </w:rPr>
                            <w:t>डेटा वर्गीकरण : प्रतिबंधित/</w:t>
                          </w:r>
                          <w:r w:rsidRPr="005175C9">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CB90B9E"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4A32A5C8" w14:textId="140EBEA1" w:rsidR="005175C9" w:rsidRPr="005175C9" w:rsidRDefault="005175C9" w:rsidP="005175C9">
                    <w:pPr>
                      <w:rPr>
                        <w:rFonts w:ascii="Calibri" w:eastAsia="Calibri" w:hAnsi="Calibri" w:cs="Calibri"/>
                        <w:noProof/>
                        <w:color w:val="FF0000"/>
                      </w:rPr>
                    </w:pPr>
                    <w:r w:rsidRPr="005175C9">
                      <w:rPr>
                        <w:rFonts w:ascii="Calibri" w:eastAsia="Calibri" w:hAnsi="Calibri" w:cs="Calibri"/>
                        <w:noProof/>
                        <w:color w:val="FF0000"/>
                        <w:cs/>
                        <w:lang w:bidi="hi-IN"/>
                      </w:rPr>
                      <w:t>डेटा वर्गीकरण : प्रतिबंधित/</w:t>
                    </w:r>
                    <w:r w:rsidRPr="005175C9">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D8B14" w14:textId="674882DE" w:rsidR="005175C9" w:rsidRDefault="005175C9">
    <w:pPr>
      <w:pStyle w:val="Header"/>
    </w:pPr>
    <w:r>
      <w:rPr>
        <w:noProof/>
      </w:rPr>
      <mc:AlternateContent>
        <mc:Choice Requires="wps">
          <w:drawing>
            <wp:anchor distT="0" distB="0" distL="0" distR="0" simplePos="0" relativeHeight="251660288" behindDoc="0" locked="0" layoutInCell="1" allowOverlap="1" wp14:anchorId="63D17509" wp14:editId="15B30ABB">
              <wp:simplePos x="628153" y="461176"/>
              <wp:positionH relativeFrom="page">
                <wp:align>center</wp:align>
              </wp:positionH>
              <wp:positionV relativeFrom="page">
                <wp:align>top</wp:align>
              </wp:positionV>
              <wp:extent cx="2298700" cy="446405"/>
              <wp:effectExtent l="0" t="0" r="6350" b="10795"/>
              <wp:wrapNone/>
              <wp:docPr id="509567596"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09FFFB73" w14:textId="3C5E1F14" w:rsidR="005175C9" w:rsidRPr="005175C9" w:rsidRDefault="005175C9" w:rsidP="005175C9">
                          <w:pPr>
                            <w:rPr>
                              <w:rFonts w:ascii="Calibri" w:eastAsia="Calibri" w:hAnsi="Calibri" w:cs="Calibri"/>
                              <w:noProof/>
                              <w:color w:val="FF0000"/>
                            </w:rPr>
                          </w:pPr>
                          <w:r w:rsidRPr="005175C9">
                            <w:rPr>
                              <w:rFonts w:ascii="Calibri" w:eastAsia="Calibri" w:hAnsi="Calibri" w:cs="Calibri"/>
                              <w:noProof/>
                              <w:color w:val="FF0000"/>
                              <w:cs/>
                              <w:lang w:bidi="hi-IN"/>
                            </w:rPr>
                            <w:t>डेटा वर्गीकरण : प्रतिबंधित/</w:t>
                          </w:r>
                          <w:r w:rsidRPr="005175C9">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3D17509"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09FFFB73" w14:textId="3C5E1F14" w:rsidR="005175C9" w:rsidRPr="005175C9" w:rsidRDefault="005175C9" w:rsidP="005175C9">
                    <w:pPr>
                      <w:rPr>
                        <w:rFonts w:ascii="Calibri" w:eastAsia="Calibri" w:hAnsi="Calibri" w:cs="Calibri"/>
                        <w:noProof/>
                        <w:color w:val="FF0000"/>
                      </w:rPr>
                    </w:pPr>
                    <w:r w:rsidRPr="005175C9">
                      <w:rPr>
                        <w:rFonts w:ascii="Calibri" w:eastAsia="Calibri" w:hAnsi="Calibri" w:cs="Calibri"/>
                        <w:noProof/>
                        <w:color w:val="FF0000"/>
                        <w:cs/>
                        <w:lang w:bidi="hi-IN"/>
                      </w:rPr>
                      <w:t>डेटा वर्गीकरण : प्रतिबंधित/</w:t>
                    </w:r>
                    <w:r w:rsidRPr="005175C9">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A2508" w14:textId="3B76850D" w:rsidR="005175C9" w:rsidRDefault="005175C9">
    <w:pPr>
      <w:pStyle w:val="Header"/>
    </w:pPr>
    <w:r>
      <w:rPr>
        <w:noProof/>
      </w:rPr>
      <mc:AlternateContent>
        <mc:Choice Requires="wps">
          <w:drawing>
            <wp:anchor distT="0" distB="0" distL="0" distR="0" simplePos="0" relativeHeight="251658240" behindDoc="0" locked="0" layoutInCell="1" allowOverlap="1" wp14:anchorId="4CDB135F" wp14:editId="73995495">
              <wp:simplePos x="635" y="635"/>
              <wp:positionH relativeFrom="page">
                <wp:align>center</wp:align>
              </wp:positionH>
              <wp:positionV relativeFrom="page">
                <wp:align>top</wp:align>
              </wp:positionV>
              <wp:extent cx="2298700" cy="446405"/>
              <wp:effectExtent l="0" t="0" r="6350" b="10795"/>
              <wp:wrapNone/>
              <wp:docPr id="104133307"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62B2B3D6" w14:textId="7CA9F713" w:rsidR="005175C9" w:rsidRPr="005175C9" w:rsidRDefault="005175C9" w:rsidP="005175C9">
                          <w:pPr>
                            <w:rPr>
                              <w:rFonts w:ascii="Calibri" w:eastAsia="Calibri" w:hAnsi="Calibri" w:cs="Calibri"/>
                              <w:noProof/>
                              <w:color w:val="FF0000"/>
                            </w:rPr>
                          </w:pPr>
                          <w:r w:rsidRPr="005175C9">
                            <w:rPr>
                              <w:rFonts w:ascii="Calibri" w:eastAsia="Calibri" w:hAnsi="Calibri" w:cs="Calibri"/>
                              <w:noProof/>
                              <w:color w:val="FF0000"/>
                              <w:cs/>
                              <w:lang w:bidi="hi-IN"/>
                            </w:rPr>
                            <w:t>डेटा वर्गीकरण : प्रतिबंधित/</w:t>
                          </w:r>
                          <w:r w:rsidRPr="005175C9">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CDB135F"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62B2B3D6" w14:textId="7CA9F713" w:rsidR="005175C9" w:rsidRPr="005175C9" w:rsidRDefault="005175C9" w:rsidP="005175C9">
                    <w:pPr>
                      <w:rPr>
                        <w:rFonts w:ascii="Calibri" w:eastAsia="Calibri" w:hAnsi="Calibri" w:cs="Calibri"/>
                        <w:noProof/>
                        <w:color w:val="FF0000"/>
                      </w:rPr>
                    </w:pPr>
                    <w:r w:rsidRPr="005175C9">
                      <w:rPr>
                        <w:rFonts w:ascii="Calibri" w:eastAsia="Calibri" w:hAnsi="Calibri" w:cs="Calibri"/>
                        <w:noProof/>
                        <w:color w:val="FF0000"/>
                        <w:cs/>
                        <w:lang w:bidi="hi-IN"/>
                      </w:rPr>
                      <w:t>डेटा वर्गीकरण : प्रतिबंधित/</w:t>
                    </w:r>
                    <w:r w:rsidRPr="005175C9">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577713868">
    <w:abstractNumId w:val="7"/>
  </w:num>
  <w:num w:numId="2" w16cid:durableId="1566719488">
    <w:abstractNumId w:val="21"/>
  </w:num>
  <w:num w:numId="3" w16cid:durableId="2079935215">
    <w:abstractNumId w:val="6"/>
  </w:num>
  <w:num w:numId="4" w16cid:durableId="1898272343">
    <w:abstractNumId w:val="27"/>
  </w:num>
  <w:num w:numId="5" w16cid:durableId="276257834">
    <w:abstractNumId w:val="31"/>
  </w:num>
  <w:num w:numId="6" w16cid:durableId="611597536">
    <w:abstractNumId w:val="5"/>
  </w:num>
  <w:num w:numId="7" w16cid:durableId="1320110961">
    <w:abstractNumId w:val="32"/>
  </w:num>
  <w:num w:numId="8" w16cid:durableId="953901384">
    <w:abstractNumId w:val="29"/>
  </w:num>
  <w:num w:numId="9" w16cid:durableId="644746531">
    <w:abstractNumId w:val="20"/>
  </w:num>
  <w:num w:numId="10" w16cid:durableId="654145394">
    <w:abstractNumId w:val="16"/>
  </w:num>
  <w:num w:numId="11" w16cid:durableId="292255400">
    <w:abstractNumId w:val="1"/>
  </w:num>
  <w:num w:numId="12" w16cid:durableId="1347442449">
    <w:abstractNumId w:val="3"/>
  </w:num>
  <w:num w:numId="13" w16cid:durableId="1171066098">
    <w:abstractNumId w:val="37"/>
  </w:num>
  <w:num w:numId="14" w16cid:durableId="1667241947">
    <w:abstractNumId w:val="45"/>
  </w:num>
  <w:num w:numId="15" w16cid:durableId="399717687">
    <w:abstractNumId w:val="22"/>
  </w:num>
  <w:num w:numId="16" w16cid:durableId="1618439832">
    <w:abstractNumId w:val="11"/>
  </w:num>
  <w:num w:numId="17" w16cid:durableId="1704286654">
    <w:abstractNumId w:val="38"/>
  </w:num>
  <w:num w:numId="18" w16cid:durableId="1458135435">
    <w:abstractNumId w:val="18"/>
  </w:num>
  <w:num w:numId="19" w16cid:durableId="249433025">
    <w:abstractNumId w:val="39"/>
  </w:num>
  <w:num w:numId="20" w16cid:durableId="1675844213">
    <w:abstractNumId w:val="14"/>
  </w:num>
  <w:num w:numId="21" w16cid:durableId="1759330670">
    <w:abstractNumId w:val="12"/>
  </w:num>
  <w:num w:numId="22" w16cid:durableId="2037803200">
    <w:abstractNumId w:val="35"/>
  </w:num>
  <w:num w:numId="23" w16cid:durableId="42010328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20757244">
    <w:abstractNumId w:val="43"/>
  </w:num>
  <w:num w:numId="25" w16cid:durableId="364795626">
    <w:abstractNumId w:val="2"/>
  </w:num>
  <w:num w:numId="26" w16cid:durableId="1347950362">
    <w:abstractNumId w:val="19"/>
  </w:num>
  <w:num w:numId="27" w16cid:durableId="331224829">
    <w:abstractNumId w:val="25"/>
  </w:num>
  <w:num w:numId="28" w16cid:durableId="75329970">
    <w:abstractNumId w:val="34"/>
  </w:num>
  <w:num w:numId="29" w16cid:durableId="1615870050">
    <w:abstractNumId w:val="33"/>
  </w:num>
  <w:num w:numId="30" w16cid:durableId="997659484">
    <w:abstractNumId w:val="28"/>
  </w:num>
  <w:num w:numId="31" w16cid:durableId="851140510">
    <w:abstractNumId w:val="17"/>
  </w:num>
  <w:num w:numId="32" w16cid:durableId="1033262167">
    <w:abstractNumId w:val="42"/>
  </w:num>
  <w:num w:numId="33" w16cid:durableId="1788574602">
    <w:abstractNumId w:val="40"/>
  </w:num>
  <w:num w:numId="34" w16cid:durableId="1172334034">
    <w:abstractNumId w:val="24"/>
  </w:num>
  <w:num w:numId="35" w16cid:durableId="441346281">
    <w:abstractNumId w:val="15"/>
  </w:num>
  <w:num w:numId="36" w16cid:durableId="1755514980">
    <w:abstractNumId w:val="36"/>
  </w:num>
  <w:num w:numId="37" w16cid:durableId="1096097044">
    <w:abstractNumId w:val="26"/>
  </w:num>
  <w:num w:numId="38" w16cid:durableId="2063164924">
    <w:abstractNumId w:val="30"/>
  </w:num>
  <w:num w:numId="39" w16cid:durableId="706298857">
    <w:abstractNumId w:val="13"/>
  </w:num>
  <w:num w:numId="40" w16cid:durableId="1977683189">
    <w:abstractNumId w:val="41"/>
  </w:num>
  <w:num w:numId="41" w16cid:durableId="1543832659">
    <w:abstractNumId w:val="8"/>
  </w:num>
  <w:num w:numId="42" w16cid:durableId="1260916032">
    <w:abstractNumId w:val="4"/>
  </w:num>
  <w:num w:numId="43" w16cid:durableId="732460133">
    <w:abstractNumId w:val="10"/>
  </w:num>
  <w:num w:numId="44" w16cid:durableId="1449813260">
    <w:abstractNumId w:val="0"/>
  </w:num>
  <w:num w:numId="45" w16cid:durableId="440104493">
    <w:abstractNumId w:val="44"/>
  </w:num>
  <w:num w:numId="46" w16cid:durableId="916482152">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44E94"/>
    <w:rsid w:val="00150515"/>
    <w:rsid w:val="00152CB0"/>
    <w:rsid w:val="00153067"/>
    <w:rsid w:val="00153C21"/>
    <w:rsid w:val="00154D1A"/>
    <w:rsid w:val="00155168"/>
    <w:rsid w:val="00156EEB"/>
    <w:rsid w:val="00160BBC"/>
    <w:rsid w:val="0016146F"/>
    <w:rsid w:val="00162CDB"/>
    <w:rsid w:val="0016361D"/>
    <w:rsid w:val="0016397A"/>
    <w:rsid w:val="00163A67"/>
    <w:rsid w:val="00164341"/>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6C5E"/>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31B"/>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5C9"/>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C6C"/>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2C94"/>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209"/>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1F5"/>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888"/>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0598"/>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86CDE"/>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6E78"/>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01F64-E28E-4A5A-89D1-E13EE6B75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6066</TotalTime>
  <Pages>44</Pages>
  <Words>16037</Words>
  <Characters>91417</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107240</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379</cp:revision>
  <cp:lastPrinted>2022-12-29T14:59:00Z</cp:lastPrinted>
  <dcterms:created xsi:type="dcterms:W3CDTF">2022-07-12T08:01:00Z</dcterms:created>
  <dcterms:modified xsi:type="dcterms:W3CDTF">2025-08-25T06:12:00Z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634f2bb,2bd7e576,1e5f626c</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2025-07-24T07:04:10Z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71923281-0796-4567-a833-b004e3b9d5f8</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