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718878EB" w14:textId="107F522D" w:rsidR="00D95EE7" w:rsidRPr="00F91926" w:rsidRDefault="00826E8A" w:rsidP="005E32B5">
      <w:pPr>
        <w:ind w:left="-284" w:right="-738"/>
        <w:jc w:val="center"/>
        <w:rPr>
          <w:rFonts w:ascii="Book Antiqua" w:hAnsi="Book Antiqua" w:cs="Arial"/>
          <w:b/>
          <w:bCs/>
          <w:color w:val="365F91" w:themeColor="accent1" w:themeShade="BF"/>
          <w:sz w:val="22"/>
          <w:szCs w:val="22"/>
        </w:rPr>
      </w:pPr>
      <w:r w:rsidRPr="00826E8A">
        <w:rPr>
          <w:rFonts w:ascii="Book Antiqua" w:hAnsi="Book Antiqua" w:cs="Arial"/>
          <w:b/>
          <w:bCs/>
          <w:color w:val="365F91" w:themeColor="accent1" w:themeShade="BF"/>
          <w:sz w:val="22"/>
          <w:szCs w:val="22"/>
        </w:rPr>
        <w:t>Appointment of Independent Engineer for “</w:t>
      </w:r>
      <w:r w:rsidR="007B491F" w:rsidRPr="007B491F">
        <w:rPr>
          <w:rFonts w:ascii="Book Antiqua" w:hAnsi="Book Antiqua" w:cs="Arial"/>
          <w:b/>
          <w:bCs/>
          <w:color w:val="365F91" w:themeColor="accent1" w:themeShade="BF"/>
          <w:sz w:val="22"/>
          <w:szCs w:val="22"/>
        </w:rPr>
        <w:t>Transmission system strengthening at Kurnool-III PS for integration of additional RE generation projects</w:t>
      </w:r>
      <w:r w:rsidR="003D285B" w:rsidRPr="003D285B">
        <w:rPr>
          <w:rFonts w:ascii="Book Antiqua" w:hAnsi="Book Antiqua" w:cs="Arial"/>
          <w:b/>
          <w:bCs/>
          <w:color w:val="365F91" w:themeColor="accent1" w:themeShade="BF"/>
          <w:sz w:val="22"/>
          <w:szCs w:val="22"/>
        </w:rPr>
        <w:t>”.</w:t>
      </w:r>
    </w:p>
    <w:p w14:paraId="1B93B3DA" w14:textId="77777777" w:rsidR="00D95EE7" w:rsidRPr="00F91926" w:rsidRDefault="00D95EE7" w:rsidP="00D95EE7">
      <w:pPr>
        <w:jc w:val="center"/>
        <w:rPr>
          <w:rFonts w:ascii="Book Antiqua" w:hAnsi="Book Antiqua" w:cs="Arial"/>
          <w:b/>
          <w:bCs/>
          <w:color w:val="365F91" w:themeColor="accent1" w:themeShade="BF"/>
          <w:sz w:val="22"/>
          <w:szCs w:val="22"/>
        </w:rPr>
      </w:pPr>
    </w:p>
    <w:p w14:paraId="08FD061A" w14:textId="77D404AE" w:rsidR="003646BE" w:rsidRPr="00182149" w:rsidRDefault="00D95EE7" w:rsidP="00D95EE7">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E25D16" w:rsidRPr="00E25D16">
        <w:rPr>
          <w:rFonts w:ascii="Book Antiqua" w:hAnsi="Book Antiqua" w:cs="Arial"/>
          <w:b/>
          <w:bCs/>
          <w:color w:val="365F91" w:themeColor="accent1" w:themeShade="BF"/>
          <w:sz w:val="22"/>
          <w:szCs w:val="22"/>
        </w:rPr>
        <w:t>CTUIL/IE/2025-26/</w:t>
      </w:r>
      <w:r w:rsidR="00040502">
        <w:rPr>
          <w:rFonts w:ascii="Book Antiqua" w:hAnsi="Book Antiqua" w:cs="Arial"/>
          <w:b/>
          <w:bCs/>
          <w:color w:val="365F91" w:themeColor="accent1" w:themeShade="BF"/>
          <w:sz w:val="22"/>
          <w:szCs w:val="22"/>
        </w:rPr>
        <w:t>8</w:t>
      </w:r>
      <w:r w:rsidR="007B491F">
        <w:rPr>
          <w:rFonts w:ascii="Book Antiqua" w:hAnsi="Book Antiqua" w:cs="Arial"/>
          <w:b/>
          <w:bCs/>
          <w:color w:val="365F91" w:themeColor="accent1" w:themeShade="BF"/>
          <w:sz w:val="22"/>
          <w:szCs w:val="22"/>
        </w:rPr>
        <w:t>2</w:t>
      </w:r>
      <w:bookmarkStart w:id="1" w:name="_GoBack"/>
      <w:bookmarkEnd w:id="1"/>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2"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2"/>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3"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3"/>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4"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4"/>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5"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 xml:space="preserve">(e)   In case of a holding company having more than one independent manufacturing units, or more than one unit having common business ownership/management and submits bid from more than one </w:t>
      </w:r>
      <w:proofErr w:type="gramStart"/>
      <w:r w:rsidRPr="007C118A">
        <w:rPr>
          <w:rFonts w:ascii="Book Antiqua" w:hAnsi="Book Antiqua"/>
          <w:b/>
          <w:bCs/>
        </w:rPr>
        <w:t>units</w:t>
      </w:r>
      <w:proofErr w:type="gramEnd"/>
      <w:r w:rsidRPr="007C118A">
        <w:rPr>
          <w:rFonts w:ascii="Book Antiqua" w:hAnsi="Book Antiqua"/>
          <w:b/>
          <w:bCs/>
        </w:rPr>
        <w:t>.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w:t>
      </w:r>
      <w:proofErr w:type="gramStart"/>
      <w:r w:rsidRPr="00FC229D">
        <w:rPr>
          <w:rFonts w:ascii="Book Antiqua" w:hAnsi="Book Antiqua" w:cs="Arial"/>
          <w:sz w:val="22"/>
          <w:szCs w:val="22"/>
        </w:rPr>
        <w:t>a</w:t>
      </w:r>
      <w:proofErr w:type="gramEnd"/>
      <w:r w:rsidRPr="00FC229D">
        <w:rPr>
          <w:rFonts w:ascii="Book Antiqua" w:hAnsi="Book Antiqua" w:cs="Arial"/>
          <w:sz w:val="22"/>
          <w:szCs w:val="22"/>
        </w:rPr>
        <w:t xml:space="preserve">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6"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w:t>
      </w:r>
      <w:proofErr w:type="gramStart"/>
      <w:r>
        <w:rPr>
          <w:rFonts w:ascii="Book Antiqua" w:hAnsi="Book Antiqua"/>
          <w:sz w:val="22"/>
          <w:szCs w:val="22"/>
        </w:rPr>
        <w:t>a</w:t>
      </w:r>
      <w:proofErr w:type="gramEnd"/>
      <w:r>
        <w:rPr>
          <w:rFonts w:ascii="Book Antiqua" w:hAnsi="Book Antiqua"/>
          <w:sz w:val="22"/>
          <w:szCs w:val="22"/>
        </w:rPr>
        <w:t xml:space="preserve">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6"/>
      <w:r>
        <w:rPr>
          <w:rFonts w:ascii="Book Antiqua" w:hAnsi="Book Antiqua"/>
          <w:sz w:val="22"/>
          <w:szCs w:val="22"/>
        </w:rPr>
        <w:t xml:space="preserve"> </w:t>
      </w:r>
      <w:bookmarkEnd w:id="5"/>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7"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The bidder shall not engage the same Project Manager, Transmission line Expert &amp; Substation Expert in more than 4 (four) nos. of active contracts as on the original schedule date of bid opening. Bid shall be considered non-responsive, in case of use of any expert’s CV beyond above said limit</w:t>
      </w:r>
      <w:r w:rsidR="00356028" w:rsidRPr="00BD6B1F">
        <w:rPr>
          <w:rFonts w:ascii="Book Antiqua" w:hAnsi="Book Antiqua"/>
          <w:sz w:val="22"/>
          <w:szCs w:val="22"/>
        </w:rPr>
        <w:t>.</w:t>
      </w:r>
      <w:bookmarkEnd w:id="7"/>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8"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8"/>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9" w:name="_Hlk94000330"/>
      <w:r w:rsidRPr="00803251">
        <w:rPr>
          <w:rFonts w:ascii="Book Antiqua" w:hAnsi="Book Antiqua" w:cs="Arial"/>
          <w:color w:val="000000"/>
          <w:sz w:val="22"/>
          <w:szCs w:val="22"/>
        </w:rPr>
        <w:t xml:space="preserve">Affidavit of Self certification regarding Minimum Local Content, if applicable, </w:t>
      </w:r>
      <w:bookmarkEnd w:id="9"/>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10"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1"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10"/>
    <w:bookmarkEnd w:id="11"/>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lastRenderedPageBreak/>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lastRenderedPageBreak/>
        <w:t>11.0</w:t>
      </w:r>
      <w:r w:rsidR="00604079">
        <w:rPr>
          <w:rFonts w:ascii="Book Antiqua" w:hAnsi="Book Antiqua"/>
          <w:b/>
          <w:sz w:val="22"/>
          <w:szCs w:val="22"/>
        </w:rPr>
        <w:tab/>
      </w:r>
      <w:bookmarkStart w:id="12"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2"/>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r w:rsidRPr="00D605F5">
        <w:rPr>
          <w:rFonts w:ascii="Book Antiqua" w:hAnsi="Book Antiqua" w:cs="Arial"/>
          <w:spacing w:val="-2"/>
          <w:sz w:val="22"/>
          <w:szCs w:val="22"/>
        </w:rPr>
        <w:t>upto</w:t>
      </w:r>
      <w:proofErr w:type="spell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In case of violation/transgression of ‘Code of Integrity for Public Procurement’ by the bidder/contractor in competing for the Contract, in accordance with Clause 38, Section-III of Conditions of Contract;</w:t>
      </w:r>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3"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3"/>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4"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4"/>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06E7F29E"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FC3A70">
        <w:rPr>
          <w:rFonts w:ascii="Book Antiqua" w:hAnsi="Book Antiqua"/>
          <w:b/>
          <w:bCs/>
          <w:lang w:val="en-GB"/>
        </w:rPr>
        <w:t>Rahul</w:t>
      </w:r>
      <w:r w:rsidR="00AC4930">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proofErr w:type="spellStart"/>
      <w:r w:rsidR="00FC3A70">
        <w:rPr>
          <w:rFonts w:ascii="Book Antiqua" w:hAnsi="Book Antiqua"/>
          <w:b/>
          <w:bCs/>
          <w:lang w:val="en-GB"/>
        </w:rPr>
        <w:t>Moolchand</w:t>
      </w:r>
      <w:proofErr w:type="spellEnd"/>
      <w:r w:rsidR="00FC3A70">
        <w:rPr>
          <w:rFonts w:ascii="Book Antiqua" w:hAnsi="Book Antiqua"/>
          <w:b/>
          <w:bCs/>
          <w:lang w:val="en-GB"/>
        </w:rPr>
        <w:t xml:space="preserve"> </w:t>
      </w:r>
      <w:proofErr w:type="spellStart"/>
      <w:r w:rsidR="00FC3A70">
        <w:rPr>
          <w:rFonts w:ascii="Book Antiqua" w:hAnsi="Book Antiqua"/>
          <w:b/>
          <w:bCs/>
          <w:lang w:val="en-GB"/>
        </w:rPr>
        <w:t>Khichar</w:t>
      </w:r>
      <w:proofErr w:type="spellEnd"/>
      <w:r w:rsidR="00B325FF">
        <w:rPr>
          <w:rFonts w:ascii="Book Antiqua" w:hAnsi="Book Antiqua"/>
          <w:b/>
          <w:bCs/>
          <w:lang w:val="en-GB"/>
        </w:rPr>
        <w:t xml:space="preserve"> </w:t>
      </w:r>
      <w:r w:rsidR="008B13C5" w:rsidRPr="008B13C5">
        <w:rPr>
          <w:rFonts w:ascii="Book Antiqua" w:hAnsi="Book Antiqua"/>
          <w:b/>
          <w:bCs/>
          <w:lang w:val="en-GB"/>
        </w:rPr>
        <w:t>(</w:t>
      </w:r>
      <w:r w:rsidR="00FC3A70">
        <w:rPr>
          <w:rFonts w:ascii="Book Antiqua" w:hAnsi="Book Antiqua"/>
          <w:b/>
          <w:bCs/>
          <w:lang w:val="en-GB"/>
        </w:rPr>
        <w:t>Engineer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40FE3D6E"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732146" w:rsidRPr="00E71A30">
        <w:rPr>
          <w:rFonts w:ascii="Book Antiqua" w:hAnsi="Book Antiqua"/>
          <w:b/>
          <w:bCs/>
          <w:lang w:val="en-GB"/>
        </w:rPr>
        <w:t>9205472328</w:t>
      </w:r>
      <w:r w:rsidR="00FC3A70">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5"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5"/>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6"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6"/>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w:t>
      </w:r>
      <w:r w:rsidR="005E21DA" w:rsidRPr="00FC0343">
        <w:rPr>
          <w:rFonts w:ascii="Book Antiqua" w:hAnsi="Book Antiqua" w:cs="Arial"/>
          <w:sz w:val="22"/>
          <w:szCs w:val="22"/>
        </w:rPr>
        <w:lastRenderedPageBreak/>
        <w:t xml:space="preserve">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7"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7"/>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w:t>
      </w:r>
      <w:r w:rsidR="005E21DA" w:rsidRPr="00FC0343">
        <w:rPr>
          <w:rFonts w:ascii="Book Antiqua" w:hAnsi="Book Antiqua" w:cs="Arial"/>
          <w:sz w:val="22"/>
          <w:szCs w:val="22"/>
        </w:rPr>
        <w:lastRenderedPageBreak/>
        <w:t xml:space="preserve">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 xml:space="preserve">In case where the bidders mention the project experience in MM-YYYY to MM-YYYY format, the start date and end date of the project experience mentioned in the CV shall be </w:t>
      </w:r>
      <w:r w:rsidRPr="00941C7B">
        <w:rPr>
          <w:rFonts w:ascii="Book Antiqua" w:hAnsi="Book Antiqua"/>
          <w:i/>
          <w:iCs/>
          <w:sz w:val="22"/>
          <w:szCs w:val="22"/>
        </w:rPr>
        <w:lastRenderedPageBreak/>
        <w:t>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8"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8"/>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9"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9"/>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20"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20"/>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1"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1"/>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2"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2"/>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3"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3"/>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lastRenderedPageBreak/>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4"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4"/>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5"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5"/>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GeM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w:t>
      </w:r>
      <w:r w:rsidR="00A32CC5" w:rsidRPr="00FC0343">
        <w:rPr>
          <w:rFonts w:ascii="Book Antiqua" w:hAnsi="Book Antiqua" w:cs="Arial"/>
          <w:sz w:val="22"/>
          <w:szCs w:val="22"/>
        </w:rPr>
        <w:lastRenderedPageBreak/>
        <w:t>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6"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6"/>
      <w:r w:rsidRPr="00FC0343">
        <w:rPr>
          <w:rFonts w:ascii="Book Antiqua" w:hAnsi="Book Antiqua" w:cs="Arial"/>
          <w:sz w:val="22"/>
          <w:szCs w:val="22"/>
        </w:rPr>
        <w:t xml:space="preserve">, </w:t>
      </w:r>
      <w:bookmarkStart w:id="27" w:name="_Hlk114048936"/>
      <w:r w:rsidRPr="00FC0343">
        <w:rPr>
          <w:rFonts w:ascii="Book Antiqua" w:hAnsi="Book Antiqua" w:cs="Arial"/>
          <w:sz w:val="22"/>
          <w:szCs w:val="22"/>
        </w:rPr>
        <w:t xml:space="preserve">the Employer will notify the successful Bidder </w:t>
      </w:r>
      <w:bookmarkEnd w:id="27"/>
      <w:r>
        <w:rPr>
          <w:rFonts w:ascii="Book Antiqua" w:hAnsi="Book Antiqua" w:cs="Arial"/>
          <w:sz w:val="22"/>
          <w:szCs w:val="22"/>
        </w:rPr>
        <w:t>through GeM Portal</w:t>
      </w:r>
      <w:r w:rsidRPr="00FC0343">
        <w:rPr>
          <w:rFonts w:ascii="Book Antiqua" w:hAnsi="Book Antiqua" w:cs="Arial"/>
          <w:sz w:val="22"/>
          <w:szCs w:val="22"/>
        </w:rPr>
        <w:t xml:space="preserve"> </w:t>
      </w:r>
      <w:bookmarkStart w:id="28"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8"/>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9"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9"/>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30" w:name="_Hlk114049426"/>
      <w:bookmarkStart w:id="31"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30"/>
      <w:r w:rsidR="0023571F" w:rsidRPr="00FC0343">
        <w:rPr>
          <w:rFonts w:ascii="Book Antiqua" w:hAnsi="Book Antiqua" w:cs="Arial"/>
          <w:sz w:val="22"/>
          <w:szCs w:val="22"/>
        </w:rPr>
        <w:t>.</w:t>
      </w:r>
      <w:bookmarkEnd w:id="31"/>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2"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2"/>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will take appropriate measures in line with the above policy if it determines that the bidder recommended for award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3" w:name="_Hlk114049534"/>
      <w:r w:rsidR="00A32CC5" w:rsidRPr="00FC0343">
        <w:rPr>
          <w:rFonts w:ascii="Book Antiqua" w:hAnsi="Book Antiqua" w:cs="Arial"/>
          <w:b/>
          <w:sz w:val="22"/>
          <w:szCs w:val="22"/>
        </w:rPr>
        <w:t>TERMS OF PAYMENTS</w:t>
      </w:r>
      <w:bookmarkEnd w:id="33"/>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4" w:name="_Hlk114049588"/>
      <w:r w:rsidR="00713EDB" w:rsidRPr="00D043CE">
        <w:rPr>
          <w:rFonts w:ascii="Book Antiqua" w:hAnsi="Book Antiqua" w:cs="Arial"/>
          <w:sz w:val="22"/>
          <w:szCs w:val="22"/>
        </w:rPr>
        <w:t>Payment shall be made to consultant in the following manner:</w:t>
      </w:r>
      <w:bookmarkEnd w:id="34"/>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5"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5"/>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w:t>
      </w:r>
      <w:r w:rsidR="00D043CE" w:rsidRPr="00D043CE">
        <w:rPr>
          <w:rStyle w:val="Hyperlink"/>
          <w:rFonts w:ascii="Book Antiqua" w:eastAsia="Batang" w:hAnsi="Book Antiqua" w:cs="Arial"/>
          <w:color w:val="000000" w:themeColor="text1"/>
          <w:sz w:val="22"/>
          <w:szCs w:val="22"/>
          <w:u w:val="none"/>
        </w:rPr>
        <w:lastRenderedPageBreak/>
        <w:t xml:space="preserve">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w:t>
      </w:r>
      <w:r w:rsidR="00D55E63">
        <w:rPr>
          <w:rFonts w:ascii="Book Antiqua" w:hAnsi="Book Antiqua" w:cs="Arial"/>
          <w:sz w:val="22"/>
          <w:szCs w:val="22"/>
        </w:rPr>
        <w:lastRenderedPageBreak/>
        <w:t xml:space="preserve">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w:t>
      </w:r>
      <w:r w:rsidR="00CD4D10" w:rsidRPr="00451D8E">
        <w:rPr>
          <w:rFonts w:ascii="Book Antiqua" w:hAnsi="Book Antiqua" w:cs="Arial"/>
          <w:bCs/>
          <w:sz w:val="22"/>
          <w:szCs w:val="22"/>
        </w:rPr>
        <w:lastRenderedPageBreak/>
        <w:t>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6"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6"/>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lastRenderedPageBreak/>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7"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7"/>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case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w:t>
      </w:r>
      <w:r w:rsidRPr="007C0FE9">
        <w:rPr>
          <w:rFonts w:ascii="Book Antiqua" w:hAnsi="Book Antiqua" w:cs="Arial"/>
          <w:sz w:val="22"/>
          <w:szCs w:val="22"/>
        </w:rPr>
        <w:lastRenderedPageBreak/>
        <w:t xml:space="preserve">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8" w:name="_Hlk90471316"/>
      <w:r w:rsidR="00AC2B93" w:rsidRPr="00212AA3">
        <w:rPr>
          <w:rFonts w:ascii="Book Antiqua" w:hAnsi="Book Antiqua" w:cs="Arial"/>
          <w:b/>
          <w:bCs/>
          <w:color w:val="000000"/>
          <w:sz w:val="22"/>
          <w:szCs w:val="22"/>
        </w:rPr>
        <w:t>NO WAIVERS</w:t>
      </w:r>
      <w:bookmarkEnd w:id="38"/>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9" w:name="_Hlk90471322"/>
      <w:r w:rsidR="00AC2B93" w:rsidRPr="00532882">
        <w:rPr>
          <w:rFonts w:ascii="Book Antiqua" w:hAnsi="Book Antiqua" w:cs="Arial"/>
          <w:b/>
          <w:bCs/>
          <w:color w:val="000000"/>
          <w:sz w:val="22"/>
          <w:szCs w:val="22"/>
        </w:rPr>
        <w:t>INSTRUCTIONS AND NOTICES</w:t>
      </w:r>
      <w:bookmarkEnd w:id="39"/>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shall be </w:t>
      </w:r>
      <w:r w:rsidR="00AC2B93" w:rsidRPr="00532882">
        <w:rPr>
          <w:rFonts w:ascii="Book Antiqua" w:hAnsi="Book Antiqua" w:cs="Arial"/>
          <w:color w:val="000000"/>
          <w:sz w:val="22"/>
          <w:szCs w:val="22"/>
        </w:rPr>
        <w:lastRenderedPageBreak/>
        <w:t>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11"/>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C03A3" w14:textId="77777777" w:rsidR="007B62D8" w:rsidRDefault="007B62D8" w:rsidP="003E7F85">
      <w:r>
        <w:separator/>
      </w:r>
    </w:p>
  </w:endnote>
  <w:endnote w:type="continuationSeparator" w:id="0">
    <w:p w14:paraId="03DA66B1" w14:textId="77777777" w:rsidR="007B62D8" w:rsidRDefault="007B62D8" w:rsidP="003E7F85">
      <w:r>
        <w:continuationSeparator/>
      </w:r>
    </w:p>
  </w:endnote>
  <w:endnote w:type="continuationNotice" w:id="1">
    <w:p w14:paraId="27695D52" w14:textId="77777777" w:rsidR="007B62D8" w:rsidRDefault="007B6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95423" w14:textId="77777777" w:rsidR="007B62D8" w:rsidRDefault="007B62D8" w:rsidP="003E7F85">
      <w:r>
        <w:separator/>
      </w:r>
    </w:p>
  </w:footnote>
  <w:footnote w:type="continuationSeparator" w:id="0">
    <w:p w14:paraId="103262CE" w14:textId="77777777" w:rsidR="007B62D8" w:rsidRDefault="007B62D8" w:rsidP="003E7F85">
      <w:r>
        <w:continuationSeparator/>
      </w:r>
    </w:p>
  </w:footnote>
  <w:footnote w:type="continuationNotice" w:id="1">
    <w:p w14:paraId="79342E39" w14:textId="77777777" w:rsidR="007B62D8" w:rsidRDefault="007B62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21"/>
  </w:num>
  <w:num w:numId="3">
    <w:abstractNumId w:val="6"/>
  </w:num>
  <w:num w:numId="4">
    <w:abstractNumId w:val="27"/>
  </w:num>
  <w:num w:numId="5">
    <w:abstractNumId w:val="31"/>
  </w:num>
  <w:num w:numId="6">
    <w:abstractNumId w:val="5"/>
  </w:num>
  <w:num w:numId="7">
    <w:abstractNumId w:val="32"/>
  </w:num>
  <w:num w:numId="8">
    <w:abstractNumId w:val="29"/>
  </w:num>
  <w:num w:numId="9">
    <w:abstractNumId w:val="20"/>
  </w:num>
  <w:num w:numId="10">
    <w:abstractNumId w:val="16"/>
  </w:num>
  <w:num w:numId="11">
    <w:abstractNumId w:val="1"/>
  </w:num>
  <w:num w:numId="12">
    <w:abstractNumId w:val="3"/>
  </w:num>
  <w:num w:numId="13">
    <w:abstractNumId w:val="37"/>
  </w:num>
  <w:num w:numId="14">
    <w:abstractNumId w:val="45"/>
  </w:num>
  <w:num w:numId="15">
    <w:abstractNumId w:val="22"/>
  </w:num>
  <w:num w:numId="16">
    <w:abstractNumId w:val="11"/>
  </w:num>
  <w:num w:numId="17">
    <w:abstractNumId w:val="38"/>
  </w:num>
  <w:num w:numId="18">
    <w:abstractNumId w:val="18"/>
  </w:num>
  <w:num w:numId="19">
    <w:abstractNumId w:val="39"/>
  </w:num>
  <w:num w:numId="20">
    <w:abstractNumId w:val="14"/>
  </w:num>
  <w:num w:numId="21">
    <w:abstractNumId w:val="12"/>
  </w:num>
  <w:num w:numId="22">
    <w:abstractNumId w:val="35"/>
  </w:num>
  <w:num w:numId="23">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num>
  <w:num w:numId="25">
    <w:abstractNumId w:val="2"/>
  </w:num>
  <w:num w:numId="26">
    <w:abstractNumId w:val="19"/>
  </w:num>
  <w:num w:numId="27">
    <w:abstractNumId w:val="25"/>
  </w:num>
  <w:num w:numId="28">
    <w:abstractNumId w:val="34"/>
  </w:num>
  <w:num w:numId="29">
    <w:abstractNumId w:val="33"/>
  </w:num>
  <w:num w:numId="30">
    <w:abstractNumId w:val="28"/>
  </w:num>
  <w:num w:numId="31">
    <w:abstractNumId w:val="17"/>
  </w:num>
  <w:num w:numId="32">
    <w:abstractNumId w:val="42"/>
  </w:num>
  <w:num w:numId="33">
    <w:abstractNumId w:val="40"/>
  </w:num>
  <w:num w:numId="34">
    <w:abstractNumId w:val="24"/>
  </w:num>
  <w:num w:numId="35">
    <w:abstractNumId w:val="15"/>
  </w:num>
  <w:num w:numId="36">
    <w:abstractNumId w:val="36"/>
  </w:num>
  <w:num w:numId="37">
    <w:abstractNumId w:val="26"/>
  </w:num>
  <w:num w:numId="38">
    <w:abstractNumId w:val="30"/>
  </w:num>
  <w:num w:numId="39">
    <w:abstractNumId w:val="13"/>
  </w:num>
  <w:num w:numId="40">
    <w:abstractNumId w:val="41"/>
  </w:num>
  <w:num w:numId="41">
    <w:abstractNumId w:val="8"/>
  </w:num>
  <w:num w:numId="42">
    <w:abstractNumId w:val="4"/>
  </w:num>
  <w:num w:numId="43">
    <w:abstractNumId w:val="10"/>
  </w:num>
  <w:num w:numId="44">
    <w:abstractNumId w:val="0"/>
  </w:num>
  <w:num w:numId="45">
    <w:abstractNumId w:val="44"/>
  </w:num>
  <w:num w:numId="46">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502"/>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6C7B"/>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254F"/>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285B"/>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82E"/>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3B3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12E2"/>
    <w:rsid w:val="005B2EFE"/>
    <w:rsid w:val="005B3686"/>
    <w:rsid w:val="005B3A9A"/>
    <w:rsid w:val="005B58BF"/>
    <w:rsid w:val="005B6F7B"/>
    <w:rsid w:val="005C40C4"/>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877A2"/>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91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6E8A"/>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25D16"/>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31A91-1132-4894-9706-D70F9B5BE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6072</TotalTime>
  <Pages>43</Pages>
  <Words>15831</Words>
  <Characters>90239</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105859</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Akhil Dubey {}</cp:lastModifiedBy>
  <cp:revision>373</cp:revision>
  <cp:lastPrinted>2022-12-29T14:59:00Z</cp:lastPrinted>
  <dcterms:created xsi:type="dcterms:W3CDTF">2022-07-12T08:01:00Z</dcterms:created>
  <dcterms:modified xsi:type="dcterms:W3CDTF">2025-05-02T10:03:00Z</dcterms:modified>
  <cp:contentStatus/>
</cp:coreProperties>
</file>