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91"/>
        <w:tblW w:w="0" w:type="auto"/>
        <w:tblLook w:val="04A0" w:firstRow="1" w:lastRow="0" w:firstColumn="1" w:lastColumn="0" w:noHBand="0" w:noVBand="1"/>
      </w:tblPr>
      <w:tblGrid>
        <w:gridCol w:w="988"/>
        <w:gridCol w:w="1984"/>
        <w:gridCol w:w="5387"/>
        <w:gridCol w:w="5528"/>
      </w:tblGrid>
      <w:tr w:rsidR="009C0D42" w:rsidRPr="00482B5C" w14:paraId="20D2271A" w14:textId="77777777" w:rsidTr="009C0D42">
        <w:tc>
          <w:tcPr>
            <w:tcW w:w="988" w:type="dxa"/>
          </w:tcPr>
          <w:p w14:paraId="7AE4C002" w14:textId="77777777" w:rsidR="009C0D42" w:rsidRPr="00482B5C" w:rsidRDefault="009C0D42" w:rsidP="009C0D42">
            <w:pPr>
              <w:rPr>
                <w:rFonts w:ascii="Book Antiqua" w:hAnsi="Book Antiqua"/>
                <w:b/>
                <w:bCs/>
                <w:szCs w:val="24"/>
              </w:rPr>
            </w:pPr>
            <w:r w:rsidRPr="00482B5C">
              <w:rPr>
                <w:rFonts w:ascii="Book Antiqua" w:hAnsi="Book Antiqua"/>
                <w:b/>
                <w:bCs/>
                <w:szCs w:val="24"/>
              </w:rPr>
              <w:t>Sl. No.</w:t>
            </w:r>
          </w:p>
        </w:tc>
        <w:tc>
          <w:tcPr>
            <w:tcW w:w="1984" w:type="dxa"/>
          </w:tcPr>
          <w:p w14:paraId="34A6FB8C" w14:textId="394DA1F9" w:rsidR="009C0D42" w:rsidRPr="00482B5C" w:rsidRDefault="00603AA9" w:rsidP="009C0D42">
            <w:pPr>
              <w:rPr>
                <w:rFonts w:ascii="Book Antiqua" w:hAnsi="Book Antiqua"/>
                <w:b/>
                <w:bCs/>
                <w:szCs w:val="24"/>
              </w:rPr>
            </w:pPr>
            <w:r>
              <w:rPr>
                <w:rFonts w:ascii="Book Antiqua" w:hAnsi="Book Antiqua"/>
                <w:b/>
                <w:bCs/>
                <w:szCs w:val="24"/>
              </w:rPr>
              <w:t xml:space="preserve">Referred </w:t>
            </w:r>
            <w:r w:rsidR="009C0D42" w:rsidRPr="00482B5C">
              <w:rPr>
                <w:rFonts w:ascii="Book Antiqua" w:hAnsi="Book Antiqua"/>
                <w:b/>
                <w:bCs/>
                <w:szCs w:val="24"/>
              </w:rPr>
              <w:t>Clause</w:t>
            </w:r>
          </w:p>
        </w:tc>
        <w:tc>
          <w:tcPr>
            <w:tcW w:w="5387" w:type="dxa"/>
          </w:tcPr>
          <w:p w14:paraId="050CF637" w14:textId="77777777" w:rsidR="009C0D42" w:rsidRPr="00482B5C" w:rsidRDefault="009C0D42" w:rsidP="009C0D42">
            <w:pPr>
              <w:rPr>
                <w:rFonts w:ascii="Book Antiqua" w:hAnsi="Book Antiqua"/>
                <w:b/>
                <w:bCs/>
                <w:szCs w:val="24"/>
              </w:rPr>
            </w:pPr>
            <w:r w:rsidRPr="00482B5C">
              <w:rPr>
                <w:rFonts w:ascii="Book Antiqua" w:hAnsi="Book Antiqua"/>
                <w:b/>
                <w:bCs/>
                <w:szCs w:val="24"/>
              </w:rPr>
              <w:t>Bidder’s query</w:t>
            </w:r>
          </w:p>
        </w:tc>
        <w:tc>
          <w:tcPr>
            <w:tcW w:w="5528" w:type="dxa"/>
          </w:tcPr>
          <w:p w14:paraId="5D4E52FA" w14:textId="77777777" w:rsidR="009C0D42" w:rsidRPr="00482B5C" w:rsidRDefault="009C0D42" w:rsidP="009C0D42">
            <w:pPr>
              <w:rPr>
                <w:rFonts w:ascii="Book Antiqua" w:hAnsi="Book Antiqua"/>
                <w:b/>
                <w:bCs/>
                <w:szCs w:val="24"/>
              </w:rPr>
            </w:pPr>
            <w:r w:rsidRPr="00482B5C">
              <w:rPr>
                <w:rFonts w:ascii="Book Antiqua" w:hAnsi="Book Antiqua"/>
                <w:b/>
                <w:bCs/>
                <w:szCs w:val="24"/>
              </w:rPr>
              <w:t>Employer’s Response</w:t>
            </w:r>
          </w:p>
        </w:tc>
      </w:tr>
      <w:tr w:rsidR="009C0D42" w:rsidRPr="00482B5C" w14:paraId="05A5E1AD" w14:textId="77777777" w:rsidTr="009C0D42">
        <w:tc>
          <w:tcPr>
            <w:tcW w:w="988" w:type="dxa"/>
          </w:tcPr>
          <w:p w14:paraId="3932C199" w14:textId="77777777" w:rsidR="009C0D42" w:rsidRPr="00482B5C" w:rsidRDefault="009C0D42" w:rsidP="009C0D42">
            <w:pPr>
              <w:rPr>
                <w:rFonts w:ascii="Book Antiqua" w:hAnsi="Book Antiqua"/>
                <w:szCs w:val="24"/>
              </w:rPr>
            </w:pPr>
            <w:r w:rsidRPr="00482B5C">
              <w:rPr>
                <w:rFonts w:ascii="Book Antiqua" w:hAnsi="Book Antiqua"/>
                <w:szCs w:val="24"/>
              </w:rPr>
              <w:t>1</w:t>
            </w:r>
          </w:p>
        </w:tc>
        <w:tc>
          <w:tcPr>
            <w:tcW w:w="1984" w:type="dxa"/>
          </w:tcPr>
          <w:p w14:paraId="6B39EA6A" w14:textId="77777777" w:rsidR="009C0D42" w:rsidRPr="00482B5C" w:rsidRDefault="009C0D42" w:rsidP="009C0D42">
            <w:pPr>
              <w:rPr>
                <w:rFonts w:ascii="Book Antiqua" w:hAnsi="Book Antiqua"/>
                <w:szCs w:val="24"/>
              </w:rPr>
            </w:pPr>
            <w:r w:rsidRPr="00482B5C">
              <w:rPr>
                <w:rFonts w:ascii="Book Antiqua" w:hAnsi="Book Antiqua"/>
                <w:szCs w:val="24"/>
              </w:rPr>
              <w:t>General</w:t>
            </w:r>
          </w:p>
        </w:tc>
        <w:tc>
          <w:tcPr>
            <w:tcW w:w="5387" w:type="dxa"/>
          </w:tcPr>
          <w:p w14:paraId="27E2CA90" w14:textId="77777777" w:rsidR="009C0D42" w:rsidRPr="00482B5C" w:rsidRDefault="009C0D42" w:rsidP="009C0D42">
            <w:pPr>
              <w:jc w:val="both"/>
              <w:rPr>
                <w:rFonts w:ascii="Book Antiqua" w:hAnsi="Book Antiqua"/>
                <w:szCs w:val="24"/>
              </w:rPr>
            </w:pPr>
            <w:r w:rsidRPr="00482B5C">
              <w:rPr>
                <w:rFonts w:ascii="Book Antiqua" w:hAnsi="Book Antiqua"/>
                <w:szCs w:val="24"/>
              </w:rPr>
              <w:t>It will be greatly appreciated if there could be some clarity on whether there is a conflict of interest specifically that there will not be any conflict of intertest for the OEM company performing studies as Consultant herein, and they (Consultants or any of their associates/affiliates) shall not be precluded from participating in any future goods, works or services/software supply tender(s) resulting out of recommendations from this study on account of such Conflict of Interest.</w:t>
            </w:r>
          </w:p>
        </w:tc>
        <w:tc>
          <w:tcPr>
            <w:tcW w:w="5528" w:type="dxa"/>
          </w:tcPr>
          <w:p w14:paraId="4281B913" w14:textId="77777777" w:rsidR="009C0D42" w:rsidRPr="00482B5C" w:rsidRDefault="009C0D42" w:rsidP="009C0D42">
            <w:pPr>
              <w:rPr>
                <w:rFonts w:ascii="Book Antiqua" w:hAnsi="Book Antiqua"/>
                <w:szCs w:val="24"/>
              </w:rPr>
            </w:pPr>
            <w:r w:rsidRPr="00482B5C">
              <w:rPr>
                <w:rFonts w:ascii="Book Antiqua" w:hAnsi="Book Antiqua"/>
                <w:szCs w:val="24"/>
              </w:rPr>
              <w:t>Please refer Amendment-I</w:t>
            </w:r>
          </w:p>
        </w:tc>
      </w:tr>
      <w:tr w:rsidR="007A49C9" w:rsidRPr="00482B5C" w14:paraId="552298D1" w14:textId="77777777" w:rsidTr="009C0D42">
        <w:tc>
          <w:tcPr>
            <w:tcW w:w="988" w:type="dxa"/>
          </w:tcPr>
          <w:p w14:paraId="463452BA" w14:textId="629A88AC" w:rsidR="007A49C9" w:rsidRPr="00482B5C" w:rsidRDefault="00755ED5" w:rsidP="009C0D42">
            <w:pPr>
              <w:rPr>
                <w:rFonts w:ascii="Book Antiqua" w:hAnsi="Book Antiqua"/>
                <w:szCs w:val="24"/>
              </w:rPr>
            </w:pPr>
            <w:r>
              <w:rPr>
                <w:rFonts w:ascii="Book Antiqua" w:hAnsi="Book Antiqua"/>
                <w:szCs w:val="24"/>
              </w:rPr>
              <w:t>2</w:t>
            </w:r>
          </w:p>
        </w:tc>
        <w:tc>
          <w:tcPr>
            <w:tcW w:w="1984" w:type="dxa"/>
          </w:tcPr>
          <w:p w14:paraId="605690BF" w14:textId="0DC1E5D3" w:rsidR="007A49C9" w:rsidRPr="00482B5C" w:rsidRDefault="00755ED5" w:rsidP="009C0D42">
            <w:pPr>
              <w:rPr>
                <w:rFonts w:ascii="Book Antiqua" w:hAnsi="Book Antiqua"/>
                <w:szCs w:val="24"/>
              </w:rPr>
            </w:pPr>
            <w:r>
              <w:rPr>
                <w:rFonts w:ascii="Book Antiqua" w:hAnsi="Book Antiqua"/>
                <w:szCs w:val="24"/>
              </w:rPr>
              <w:t xml:space="preserve">Terms of reference </w:t>
            </w:r>
          </w:p>
        </w:tc>
        <w:tc>
          <w:tcPr>
            <w:tcW w:w="5387" w:type="dxa"/>
          </w:tcPr>
          <w:p w14:paraId="73FBCDCB" w14:textId="55B3A873" w:rsidR="007A49C9" w:rsidRPr="00482B5C" w:rsidRDefault="007A49C9" w:rsidP="009C0D42">
            <w:pPr>
              <w:jc w:val="both"/>
              <w:rPr>
                <w:rFonts w:ascii="Book Antiqua" w:hAnsi="Book Antiqua"/>
                <w:szCs w:val="24"/>
              </w:rPr>
            </w:pPr>
            <w:r w:rsidRPr="007A49C9">
              <w:rPr>
                <w:rFonts w:ascii="Book Antiqua" w:hAnsi="Book Antiqua"/>
                <w:szCs w:val="24"/>
              </w:rPr>
              <w:t>Kindly inform the identified landfall location for this project at both the ends.</w:t>
            </w:r>
          </w:p>
        </w:tc>
        <w:tc>
          <w:tcPr>
            <w:tcW w:w="5528" w:type="dxa"/>
          </w:tcPr>
          <w:p w14:paraId="1E12DFDB" w14:textId="1B2DBCE3" w:rsidR="007A49C9" w:rsidRPr="00482B5C" w:rsidRDefault="00755ED5" w:rsidP="00755ED5">
            <w:pPr>
              <w:jc w:val="both"/>
              <w:rPr>
                <w:rFonts w:ascii="Book Antiqua" w:hAnsi="Book Antiqua"/>
                <w:szCs w:val="24"/>
              </w:rPr>
            </w:pPr>
            <w:r w:rsidRPr="00755ED5">
              <w:rPr>
                <w:rFonts w:ascii="Book Antiqua" w:hAnsi="Book Antiqua"/>
                <w:szCs w:val="24"/>
              </w:rPr>
              <w:t>Shall be provided to successful bidder during study.</w:t>
            </w:r>
          </w:p>
        </w:tc>
      </w:tr>
      <w:tr w:rsidR="00556719" w:rsidRPr="00482B5C" w14:paraId="36717718" w14:textId="77777777" w:rsidTr="009C0D42">
        <w:tc>
          <w:tcPr>
            <w:tcW w:w="988" w:type="dxa"/>
          </w:tcPr>
          <w:p w14:paraId="46359660" w14:textId="39F292F5" w:rsidR="00556719" w:rsidRDefault="00556719" w:rsidP="009C0D42">
            <w:pPr>
              <w:rPr>
                <w:rFonts w:ascii="Book Antiqua" w:hAnsi="Book Antiqua"/>
                <w:szCs w:val="24"/>
              </w:rPr>
            </w:pPr>
            <w:r>
              <w:rPr>
                <w:rFonts w:ascii="Book Antiqua" w:hAnsi="Book Antiqua"/>
                <w:szCs w:val="24"/>
              </w:rPr>
              <w:t>3</w:t>
            </w:r>
          </w:p>
        </w:tc>
        <w:tc>
          <w:tcPr>
            <w:tcW w:w="1984" w:type="dxa"/>
          </w:tcPr>
          <w:p w14:paraId="10D6A836" w14:textId="3388E5D8" w:rsidR="00556719" w:rsidRDefault="00603AA9" w:rsidP="009C0D42">
            <w:pPr>
              <w:rPr>
                <w:rFonts w:ascii="Book Antiqua" w:hAnsi="Book Antiqua"/>
                <w:szCs w:val="24"/>
              </w:rPr>
            </w:pPr>
            <w:r>
              <w:rPr>
                <w:rFonts w:ascii="Book Antiqua" w:hAnsi="Book Antiqua"/>
                <w:szCs w:val="24"/>
              </w:rPr>
              <w:t>Terms of reference</w:t>
            </w:r>
          </w:p>
        </w:tc>
        <w:tc>
          <w:tcPr>
            <w:tcW w:w="5387" w:type="dxa"/>
          </w:tcPr>
          <w:p w14:paraId="15FFD019" w14:textId="3D8C1F69" w:rsidR="00556719" w:rsidRPr="007A49C9" w:rsidRDefault="00556719" w:rsidP="009C0D42">
            <w:pPr>
              <w:jc w:val="both"/>
              <w:rPr>
                <w:rFonts w:ascii="Book Antiqua" w:hAnsi="Book Antiqua"/>
                <w:szCs w:val="24"/>
              </w:rPr>
            </w:pPr>
            <w:r w:rsidRPr="00556719">
              <w:rPr>
                <w:rFonts w:ascii="Book Antiqua" w:hAnsi="Book Antiqua"/>
                <w:szCs w:val="24"/>
              </w:rPr>
              <w:t>Since this feasibility study is for the technical consultant and commenting on the legal aspects is not expertise of technical consultant, we request you to kindly remove legal scope from the present TOR.</w:t>
            </w:r>
          </w:p>
        </w:tc>
        <w:tc>
          <w:tcPr>
            <w:tcW w:w="5528" w:type="dxa"/>
          </w:tcPr>
          <w:p w14:paraId="11DF1691" w14:textId="62694114" w:rsidR="00556719" w:rsidRPr="00755ED5" w:rsidRDefault="00CD0A17" w:rsidP="00755ED5">
            <w:pPr>
              <w:jc w:val="both"/>
              <w:rPr>
                <w:rFonts w:ascii="Book Antiqua" w:hAnsi="Book Antiqua"/>
                <w:szCs w:val="24"/>
              </w:rPr>
            </w:pPr>
            <w:r>
              <w:rPr>
                <w:rFonts w:ascii="Book Antiqua" w:hAnsi="Book Antiqua"/>
                <w:szCs w:val="24"/>
              </w:rPr>
              <w:t xml:space="preserve">Provisions of Bidding document shall </w:t>
            </w:r>
            <w:r w:rsidR="00390354">
              <w:rPr>
                <w:rFonts w:ascii="Book Antiqua" w:hAnsi="Book Antiqua"/>
                <w:szCs w:val="24"/>
              </w:rPr>
              <w:t>be unchanged.</w:t>
            </w:r>
          </w:p>
        </w:tc>
      </w:tr>
      <w:tr w:rsidR="00390354" w:rsidRPr="00482B5C" w14:paraId="50B62E82" w14:textId="77777777" w:rsidTr="009C0D42">
        <w:tc>
          <w:tcPr>
            <w:tcW w:w="988" w:type="dxa"/>
          </w:tcPr>
          <w:p w14:paraId="3CFA7C8F" w14:textId="7823104F" w:rsidR="00390354" w:rsidRDefault="00390354" w:rsidP="009C0D42">
            <w:pPr>
              <w:rPr>
                <w:rFonts w:ascii="Book Antiqua" w:hAnsi="Book Antiqua"/>
                <w:szCs w:val="24"/>
              </w:rPr>
            </w:pPr>
            <w:r>
              <w:rPr>
                <w:rFonts w:ascii="Book Antiqua" w:hAnsi="Book Antiqua"/>
                <w:szCs w:val="24"/>
              </w:rPr>
              <w:t>4</w:t>
            </w:r>
          </w:p>
        </w:tc>
        <w:tc>
          <w:tcPr>
            <w:tcW w:w="1984" w:type="dxa"/>
          </w:tcPr>
          <w:p w14:paraId="708947F2" w14:textId="1B16199E" w:rsidR="00390354" w:rsidRDefault="000B0880" w:rsidP="009C0D42">
            <w:pPr>
              <w:rPr>
                <w:rFonts w:ascii="Book Antiqua" w:hAnsi="Book Antiqua"/>
                <w:szCs w:val="24"/>
              </w:rPr>
            </w:pPr>
            <w:r>
              <w:rPr>
                <w:rFonts w:ascii="Book Antiqua" w:hAnsi="Book Antiqua"/>
                <w:szCs w:val="24"/>
              </w:rPr>
              <w:t>Conditions of Contract</w:t>
            </w:r>
          </w:p>
        </w:tc>
        <w:tc>
          <w:tcPr>
            <w:tcW w:w="5387" w:type="dxa"/>
          </w:tcPr>
          <w:p w14:paraId="5D9A127D" w14:textId="6162A933" w:rsidR="00390354" w:rsidRPr="00556719" w:rsidRDefault="00390354" w:rsidP="009C0D42">
            <w:pPr>
              <w:jc w:val="both"/>
              <w:rPr>
                <w:rFonts w:ascii="Book Antiqua" w:hAnsi="Book Antiqua"/>
                <w:szCs w:val="24"/>
              </w:rPr>
            </w:pPr>
            <w:r w:rsidRPr="00390354">
              <w:rPr>
                <w:rFonts w:ascii="Book Antiqua" w:hAnsi="Book Antiqua"/>
                <w:szCs w:val="24"/>
              </w:rPr>
              <w:t>Since the Scope of work and TOR is quite detailed and elaborated, we request you to kindly extend the duration of project to Nine (9) months. Please confirm</w:t>
            </w:r>
          </w:p>
        </w:tc>
        <w:tc>
          <w:tcPr>
            <w:tcW w:w="5528" w:type="dxa"/>
          </w:tcPr>
          <w:p w14:paraId="0B379D36" w14:textId="77777777" w:rsidR="00481D4F" w:rsidRDefault="00481D4F" w:rsidP="00755ED5">
            <w:pPr>
              <w:jc w:val="both"/>
              <w:rPr>
                <w:rFonts w:ascii="Book Antiqua" w:hAnsi="Book Antiqua"/>
                <w:szCs w:val="24"/>
              </w:rPr>
            </w:pPr>
            <w:r>
              <w:rPr>
                <w:rFonts w:ascii="Book Antiqua" w:hAnsi="Book Antiqua"/>
                <w:szCs w:val="24"/>
              </w:rPr>
              <w:t>Duration  of the project shall remain unchanged.</w:t>
            </w:r>
          </w:p>
          <w:p w14:paraId="7AC41DBF" w14:textId="6F96D763" w:rsidR="00390354" w:rsidRDefault="00390354" w:rsidP="00755ED5">
            <w:pPr>
              <w:jc w:val="both"/>
              <w:rPr>
                <w:rFonts w:ascii="Book Antiqua" w:hAnsi="Book Antiqua"/>
                <w:szCs w:val="24"/>
              </w:rPr>
            </w:pPr>
          </w:p>
        </w:tc>
      </w:tr>
      <w:tr w:rsidR="00481D4F" w:rsidRPr="00482B5C" w14:paraId="6981494F" w14:textId="77777777" w:rsidTr="009C0D42">
        <w:tc>
          <w:tcPr>
            <w:tcW w:w="988" w:type="dxa"/>
          </w:tcPr>
          <w:p w14:paraId="21A36F1C" w14:textId="1FE65CF4" w:rsidR="00481D4F" w:rsidRDefault="00481D4F" w:rsidP="009C0D42">
            <w:pPr>
              <w:rPr>
                <w:rFonts w:ascii="Book Antiqua" w:hAnsi="Book Antiqua"/>
                <w:szCs w:val="24"/>
              </w:rPr>
            </w:pPr>
            <w:r>
              <w:rPr>
                <w:rFonts w:ascii="Book Antiqua" w:hAnsi="Book Antiqua"/>
                <w:szCs w:val="24"/>
              </w:rPr>
              <w:t>5</w:t>
            </w:r>
          </w:p>
        </w:tc>
        <w:tc>
          <w:tcPr>
            <w:tcW w:w="1984" w:type="dxa"/>
          </w:tcPr>
          <w:p w14:paraId="15EA4563" w14:textId="4BB1E0C2" w:rsidR="00481D4F" w:rsidRDefault="00C03F6A" w:rsidP="009C0D42">
            <w:pPr>
              <w:rPr>
                <w:rFonts w:ascii="Book Antiqua" w:hAnsi="Book Antiqua"/>
                <w:szCs w:val="24"/>
              </w:rPr>
            </w:pPr>
            <w:r>
              <w:rPr>
                <w:rFonts w:ascii="Book Antiqua" w:hAnsi="Book Antiqua"/>
                <w:szCs w:val="24"/>
              </w:rPr>
              <w:t>Minimum Qualifying Criteria</w:t>
            </w:r>
          </w:p>
        </w:tc>
        <w:tc>
          <w:tcPr>
            <w:tcW w:w="5387" w:type="dxa"/>
          </w:tcPr>
          <w:p w14:paraId="5774B3FD" w14:textId="172430B6" w:rsidR="00481D4F" w:rsidRPr="00390354" w:rsidRDefault="00C03F6A" w:rsidP="009C0D42">
            <w:pPr>
              <w:jc w:val="both"/>
              <w:rPr>
                <w:rFonts w:ascii="Book Antiqua" w:hAnsi="Book Antiqua"/>
                <w:szCs w:val="24"/>
              </w:rPr>
            </w:pPr>
            <w:r w:rsidRPr="00C03F6A">
              <w:rPr>
                <w:rFonts w:ascii="Book Antiqua" w:hAnsi="Book Antiqua"/>
                <w:szCs w:val="24"/>
              </w:rPr>
              <w:t>The bidder should have done at least five (5) numbers of System Studies of at least 25GW installed capacity inter-connected system.” Our interpretation is that 25 GW is the overall power connected to the systems for which the System Studies were performed. Please confirm.</w:t>
            </w:r>
          </w:p>
        </w:tc>
        <w:tc>
          <w:tcPr>
            <w:tcW w:w="5528" w:type="dxa"/>
          </w:tcPr>
          <w:p w14:paraId="3329E6A0" w14:textId="65C12E5F" w:rsidR="00481D4F" w:rsidRDefault="00F342F8" w:rsidP="00755ED5">
            <w:pPr>
              <w:jc w:val="both"/>
              <w:rPr>
                <w:rFonts w:ascii="Book Antiqua" w:hAnsi="Book Antiqua"/>
                <w:szCs w:val="24"/>
              </w:rPr>
            </w:pPr>
            <w:r w:rsidRPr="00F342F8">
              <w:rPr>
                <w:rFonts w:ascii="Book Antiqua" w:hAnsi="Book Antiqua"/>
                <w:szCs w:val="24"/>
              </w:rPr>
              <w:t>25GW is the total installed capacity of all types of energy sources based generating stations interconnected in a single Grid.</w:t>
            </w:r>
          </w:p>
        </w:tc>
      </w:tr>
      <w:tr w:rsidR="00F342F8" w:rsidRPr="00482B5C" w14:paraId="0D460C7E" w14:textId="77777777" w:rsidTr="009C0D42">
        <w:tc>
          <w:tcPr>
            <w:tcW w:w="988" w:type="dxa"/>
          </w:tcPr>
          <w:p w14:paraId="2A189355" w14:textId="5359F2D2" w:rsidR="00F342F8" w:rsidRDefault="00F342F8" w:rsidP="009C0D42">
            <w:pPr>
              <w:rPr>
                <w:rFonts w:ascii="Book Antiqua" w:hAnsi="Book Antiqua"/>
                <w:szCs w:val="24"/>
              </w:rPr>
            </w:pPr>
            <w:r>
              <w:rPr>
                <w:rFonts w:ascii="Book Antiqua" w:hAnsi="Book Antiqua"/>
                <w:szCs w:val="24"/>
              </w:rPr>
              <w:lastRenderedPageBreak/>
              <w:t>6</w:t>
            </w:r>
          </w:p>
        </w:tc>
        <w:tc>
          <w:tcPr>
            <w:tcW w:w="1984" w:type="dxa"/>
          </w:tcPr>
          <w:p w14:paraId="0BD8EA9D" w14:textId="3D038D44" w:rsidR="00F342F8" w:rsidRDefault="00F342F8" w:rsidP="009C0D42">
            <w:pPr>
              <w:rPr>
                <w:rFonts w:ascii="Book Antiqua" w:hAnsi="Book Antiqua"/>
                <w:szCs w:val="24"/>
              </w:rPr>
            </w:pPr>
            <w:r>
              <w:rPr>
                <w:rFonts w:ascii="Book Antiqua" w:hAnsi="Book Antiqua"/>
                <w:szCs w:val="24"/>
              </w:rPr>
              <w:t>Minimum Qualifying Criteria</w:t>
            </w:r>
          </w:p>
        </w:tc>
        <w:tc>
          <w:tcPr>
            <w:tcW w:w="5387" w:type="dxa"/>
          </w:tcPr>
          <w:p w14:paraId="1BAD4E7F" w14:textId="3EB1AA29" w:rsidR="00F342F8" w:rsidRPr="00C03F6A" w:rsidRDefault="00F342F8" w:rsidP="009C0D42">
            <w:pPr>
              <w:jc w:val="both"/>
              <w:rPr>
                <w:rFonts w:ascii="Book Antiqua" w:hAnsi="Book Antiqua"/>
                <w:szCs w:val="24"/>
              </w:rPr>
            </w:pPr>
            <w:r w:rsidRPr="00F342F8">
              <w:rPr>
                <w:rFonts w:ascii="Book Antiqua" w:hAnsi="Book Antiqua"/>
                <w:szCs w:val="24"/>
              </w:rPr>
              <w:t>In case the bidder is a holding company, the technical experience referred to in clause 1.1 above shall be of that holding company only (i.e. excluding its subsidiary/group companies). In case bidder is a subsidiary of a holding company, the technical experience referred to in clause 1.1 above shall be of that subsidiary company only (i.e. excluding its holding company)”. Our interpretation is that a bid made by one legal entity can be supported by references made by two other legal entities, whereby these three legal entities are all subsidiaries controlled by the same holding company. Please confirm.</w:t>
            </w:r>
          </w:p>
        </w:tc>
        <w:tc>
          <w:tcPr>
            <w:tcW w:w="5528" w:type="dxa"/>
          </w:tcPr>
          <w:p w14:paraId="62A92039" w14:textId="100A466F" w:rsidR="00F342F8" w:rsidRPr="00F342F8" w:rsidRDefault="00D064CB" w:rsidP="00755ED5">
            <w:pPr>
              <w:jc w:val="both"/>
              <w:rPr>
                <w:rFonts w:ascii="Book Antiqua" w:hAnsi="Book Antiqua"/>
                <w:szCs w:val="24"/>
              </w:rPr>
            </w:pPr>
            <w:r w:rsidRPr="00D064CB">
              <w:rPr>
                <w:rFonts w:ascii="Book Antiqua" w:hAnsi="Book Antiqua"/>
                <w:szCs w:val="24"/>
              </w:rPr>
              <w:t>Holding companies and its group companies can form JV/Consortium. However, they will be treated as one bidder.</w:t>
            </w:r>
          </w:p>
        </w:tc>
      </w:tr>
      <w:tr w:rsidR="00D064CB" w:rsidRPr="00482B5C" w14:paraId="5D93AB14" w14:textId="77777777" w:rsidTr="009C0D42">
        <w:tc>
          <w:tcPr>
            <w:tcW w:w="988" w:type="dxa"/>
          </w:tcPr>
          <w:p w14:paraId="5CA21AE8" w14:textId="05171568" w:rsidR="00D064CB" w:rsidRDefault="00D064CB" w:rsidP="009C0D42">
            <w:pPr>
              <w:rPr>
                <w:rFonts w:ascii="Book Antiqua" w:hAnsi="Book Antiqua"/>
                <w:szCs w:val="24"/>
              </w:rPr>
            </w:pPr>
            <w:r>
              <w:rPr>
                <w:rFonts w:ascii="Book Antiqua" w:hAnsi="Book Antiqua"/>
                <w:szCs w:val="24"/>
              </w:rPr>
              <w:t>7</w:t>
            </w:r>
          </w:p>
        </w:tc>
        <w:tc>
          <w:tcPr>
            <w:tcW w:w="1984" w:type="dxa"/>
          </w:tcPr>
          <w:p w14:paraId="51EF0CBF" w14:textId="3F19905B" w:rsidR="00D064CB" w:rsidRDefault="00D064CB" w:rsidP="009C0D42">
            <w:pPr>
              <w:rPr>
                <w:rFonts w:ascii="Book Antiqua" w:hAnsi="Book Antiqua"/>
                <w:szCs w:val="24"/>
              </w:rPr>
            </w:pPr>
            <w:r>
              <w:rPr>
                <w:rFonts w:ascii="Book Antiqua" w:hAnsi="Book Antiqua"/>
                <w:szCs w:val="24"/>
              </w:rPr>
              <w:t>Minimum Qualifying Criteria</w:t>
            </w:r>
          </w:p>
        </w:tc>
        <w:tc>
          <w:tcPr>
            <w:tcW w:w="5387" w:type="dxa"/>
          </w:tcPr>
          <w:p w14:paraId="5AC8ECC0" w14:textId="3E70AB05" w:rsidR="00D064CB" w:rsidRPr="00F342F8" w:rsidRDefault="00D064CB" w:rsidP="009C0D42">
            <w:pPr>
              <w:jc w:val="both"/>
              <w:rPr>
                <w:rFonts w:ascii="Book Antiqua" w:hAnsi="Book Antiqua"/>
                <w:szCs w:val="24"/>
              </w:rPr>
            </w:pPr>
            <w:r w:rsidRPr="00D064CB">
              <w:rPr>
                <w:rFonts w:ascii="Book Antiqua" w:hAnsi="Book Antiqua"/>
                <w:szCs w:val="24"/>
              </w:rPr>
              <w:t>The bidder should have at least two (2) numbers of Generation Planning Software i.e. PLEXOS license keys.” The Bidder request is to provide specific tasks requirements which should be met by the bidder not limiting to one software provider as its potentially discriminatory and limiting</w:t>
            </w:r>
          </w:p>
        </w:tc>
        <w:tc>
          <w:tcPr>
            <w:tcW w:w="5528" w:type="dxa"/>
          </w:tcPr>
          <w:p w14:paraId="692F7B22" w14:textId="705BC77D" w:rsidR="00D064CB" w:rsidRPr="00D064CB" w:rsidRDefault="00D6729F" w:rsidP="00755ED5">
            <w:pPr>
              <w:jc w:val="both"/>
              <w:rPr>
                <w:rFonts w:ascii="Book Antiqua" w:hAnsi="Book Antiqua"/>
                <w:szCs w:val="24"/>
              </w:rPr>
            </w:pPr>
            <w:r w:rsidRPr="00D6729F">
              <w:rPr>
                <w:rFonts w:ascii="Book Antiqua" w:hAnsi="Book Antiqua"/>
                <w:szCs w:val="24"/>
              </w:rPr>
              <w:t>No change in QR is envisaged. The requirement is in line with software used by CTUIL and NG-SA.</w:t>
            </w:r>
          </w:p>
        </w:tc>
      </w:tr>
      <w:tr w:rsidR="00D6729F" w:rsidRPr="00482B5C" w14:paraId="0D89CF2C" w14:textId="77777777" w:rsidTr="009C0D42">
        <w:tc>
          <w:tcPr>
            <w:tcW w:w="988" w:type="dxa"/>
          </w:tcPr>
          <w:p w14:paraId="7CAAC6C7" w14:textId="7ADD7EAE" w:rsidR="00D6729F" w:rsidRDefault="00D6729F" w:rsidP="009C0D42">
            <w:pPr>
              <w:rPr>
                <w:rFonts w:ascii="Book Antiqua" w:hAnsi="Book Antiqua"/>
                <w:szCs w:val="24"/>
              </w:rPr>
            </w:pPr>
            <w:r>
              <w:rPr>
                <w:rFonts w:ascii="Book Antiqua" w:hAnsi="Book Antiqua"/>
                <w:szCs w:val="24"/>
              </w:rPr>
              <w:t>8</w:t>
            </w:r>
          </w:p>
        </w:tc>
        <w:tc>
          <w:tcPr>
            <w:tcW w:w="1984" w:type="dxa"/>
          </w:tcPr>
          <w:p w14:paraId="3E98B807" w14:textId="235EF50A" w:rsidR="00D6729F" w:rsidRDefault="00232D1C" w:rsidP="009C0D42">
            <w:pPr>
              <w:rPr>
                <w:rFonts w:ascii="Book Antiqua" w:hAnsi="Book Antiqua"/>
                <w:szCs w:val="24"/>
              </w:rPr>
            </w:pPr>
            <w:r>
              <w:rPr>
                <w:rFonts w:ascii="Book Antiqua" w:hAnsi="Book Antiqua"/>
                <w:szCs w:val="24"/>
              </w:rPr>
              <w:t>Conditions of Contract</w:t>
            </w:r>
          </w:p>
        </w:tc>
        <w:tc>
          <w:tcPr>
            <w:tcW w:w="5387" w:type="dxa"/>
          </w:tcPr>
          <w:p w14:paraId="03D8C86D" w14:textId="0B6258DF" w:rsidR="00D6729F" w:rsidRPr="00D064CB" w:rsidRDefault="00A5259E" w:rsidP="009C0D42">
            <w:pPr>
              <w:jc w:val="both"/>
              <w:rPr>
                <w:rFonts w:ascii="Book Antiqua" w:hAnsi="Book Antiqua"/>
                <w:szCs w:val="24"/>
              </w:rPr>
            </w:pPr>
            <w:r w:rsidRPr="00A5259E">
              <w:rPr>
                <w:rFonts w:ascii="Book Antiqua" w:hAnsi="Book Antiqua"/>
                <w:szCs w:val="24"/>
              </w:rPr>
              <w:t>We seek your advice on the appropriate approach for managing any potential conflict of interest during the implementation phase, particularly concerning the role and responsibilities of the consultant involved in the feasibility study.</w:t>
            </w:r>
          </w:p>
        </w:tc>
        <w:tc>
          <w:tcPr>
            <w:tcW w:w="5528" w:type="dxa"/>
          </w:tcPr>
          <w:p w14:paraId="2E8DB5F2" w14:textId="018867A4" w:rsidR="00D6729F" w:rsidRPr="00D6729F" w:rsidRDefault="00A5259E" w:rsidP="00755ED5">
            <w:pPr>
              <w:jc w:val="both"/>
              <w:rPr>
                <w:rFonts w:ascii="Book Antiqua" w:hAnsi="Book Antiqua"/>
                <w:szCs w:val="24"/>
              </w:rPr>
            </w:pPr>
            <w:r>
              <w:rPr>
                <w:rFonts w:ascii="Book Antiqua" w:hAnsi="Book Antiqua"/>
                <w:szCs w:val="24"/>
              </w:rPr>
              <w:t>Please refer sl. no. 1 above</w:t>
            </w:r>
          </w:p>
        </w:tc>
      </w:tr>
      <w:tr w:rsidR="00232D1C" w:rsidRPr="00482B5C" w14:paraId="6DB148CA" w14:textId="77777777" w:rsidTr="009C0D42">
        <w:tc>
          <w:tcPr>
            <w:tcW w:w="988" w:type="dxa"/>
          </w:tcPr>
          <w:p w14:paraId="47FCBCD5" w14:textId="37ECE721" w:rsidR="00232D1C" w:rsidRDefault="00232D1C" w:rsidP="009C0D42">
            <w:pPr>
              <w:rPr>
                <w:rFonts w:ascii="Book Antiqua" w:hAnsi="Book Antiqua"/>
                <w:szCs w:val="24"/>
              </w:rPr>
            </w:pPr>
            <w:r>
              <w:rPr>
                <w:rFonts w:ascii="Book Antiqua" w:hAnsi="Book Antiqua"/>
                <w:szCs w:val="24"/>
              </w:rPr>
              <w:t>9</w:t>
            </w:r>
          </w:p>
        </w:tc>
        <w:tc>
          <w:tcPr>
            <w:tcW w:w="1984" w:type="dxa"/>
          </w:tcPr>
          <w:p w14:paraId="45E513D7" w14:textId="4C42564D" w:rsidR="00232D1C" w:rsidRDefault="00E52DA4" w:rsidP="009C0D42">
            <w:pPr>
              <w:rPr>
                <w:rFonts w:ascii="Book Antiqua" w:hAnsi="Book Antiqua"/>
                <w:szCs w:val="24"/>
              </w:rPr>
            </w:pPr>
            <w:r w:rsidRPr="00E52DA4">
              <w:rPr>
                <w:rFonts w:ascii="Book Antiqua" w:hAnsi="Book Antiqua"/>
                <w:szCs w:val="24"/>
              </w:rPr>
              <w:t xml:space="preserve">Annexure-I to Section-III </w:t>
            </w:r>
            <w:r w:rsidR="00924880" w:rsidRPr="00E52DA4">
              <w:rPr>
                <w:rFonts w:ascii="Book Antiqua" w:hAnsi="Book Antiqua"/>
                <w:szCs w:val="24"/>
              </w:rPr>
              <w:lastRenderedPageBreak/>
              <w:t xml:space="preserve">(Qualifying Requirement) </w:t>
            </w:r>
          </w:p>
        </w:tc>
        <w:tc>
          <w:tcPr>
            <w:tcW w:w="5387" w:type="dxa"/>
          </w:tcPr>
          <w:p w14:paraId="0036FE7E" w14:textId="1836EC6F" w:rsidR="00232D1C" w:rsidRPr="00A5259E" w:rsidRDefault="00E52DA4" w:rsidP="009C0D42">
            <w:pPr>
              <w:jc w:val="both"/>
              <w:rPr>
                <w:rFonts w:ascii="Book Antiqua" w:hAnsi="Book Antiqua"/>
                <w:szCs w:val="24"/>
              </w:rPr>
            </w:pPr>
            <w:r w:rsidRPr="00E52DA4">
              <w:rPr>
                <w:rFonts w:ascii="Book Antiqua" w:hAnsi="Book Antiqua"/>
                <w:szCs w:val="24"/>
              </w:rPr>
              <w:lastRenderedPageBreak/>
              <w:t xml:space="preserve">As per Annexure-I to Section-III (Qualifying Requirement), all eligibility criteria are currently stipulated to be met solely by the holding </w:t>
            </w:r>
            <w:r w:rsidRPr="00E52DA4">
              <w:rPr>
                <w:rFonts w:ascii="Book Antiqua" w:hAnsi="Book Antiqua"/>
                <w:szCs w:val="24"/>
              </w:rPr>
              <w:lastRenderedPageBreak/>
              <w:t xml:space="preserve">company or its subsidiary. Given the scope and scale of the requirements—particularly where capability is assessed based on multi-country interconnection studies—we respectfully request your consideration to allow </w:t>
            </w:r>
            <w:proofErr w:type="spellStart"/>
            <w:r w:rsidRPr="00E52DA4">
              <w:rPr>
                <w:rFonts w:ascii="Book Antiqua" w:hAnsi="Book Antiqua"/>
                <w:szCs w:val="24"/>
              </w:rPr>
              <w:t>fulfillment</w:t>
            </w:r>
            <w:proofErr w:type="spellEnd"/>
            <w:r w:rsidRPr="00E52DA4">
              <w:rPr>
                <w:rFonts w:ascii="Book Antiqua" w:hAnsi="Book Antiqua"/>
                <w:szCs w:val="24"/>
              </w:rPr>
              <w:t xml:space="preserve"> of eligibility criteria through a combination of the holding company and its group companies.</w:t>
            </w:r>
          </w:p>
        </w:tc>
        <w:tc>
          <w:tcPr>
            <w:tcW w:w="5528" w:type="dxa"/>
          </w:tcPr>
          <w:p w14:paraId="58CDE404" w14:textId="05BF5118" w:rsidR="00232D1C" w:rsidRDefault="00AC29F1" w:rsidP="00755ED5">
            <w:pPr>
              <w:jc w:val="both"/>
              <w:rPr>
                <w:rFonts w:ascii="Book Antiqua" w:hAnsi="Book Antiqua"/>
                <w:szCs w:val="24"/>
              </w:rPr>
            </w:pPr>
            <w:r w:rsidRPr="00AC29F1">
              <w:rPr>
                <w:rFonts w:ascii="Book Antiqua" w:hAnsi="Book Antiqua"/>
                <w:szCs w:val="24"/>
              </w:rPr>
              <w:lastRenderedPageBreak/>
              <w:t>Holding companies and its group companies can form JV/Consortium. However, they will be treated as one bidder.</w:t>
            </w:r>
          </w:p>
        </w:tc>
      </w:tr>
      <w:tr w:rsidR="00AC29F1" w:rsidRPr="00482B5C" w14:paraId="19C6C009" w14:textId="77777777" w:rsidTr="009C0D42">
        <w:tc>
          <w:tcPr>
            <w:tcW w:w="988" w:type="dxa"/>
          </w:tcPr>
          <w:p w14:paraId="310E8F0E" w14:textId="3D73F196" w:rsidR="00AC29F1" w:rsidRDefault="00AC29F1" w:rsidP="009C0D42">
            <w:pPr>
              <w:rPr>
                <w:rFonts w:ascii="Book Antiqua" w:hAnsi="Book Antiqua"/>
                <w:szCs w:val="24"/>
              </w:rPr>
            </w:pPr>
            <w:r>
              <w:rPr>
                <w:rFonts w:ascii="Book Antiqua" w:hAnsi="Book Antiqua"/>
                <w:szCs w:val="24"/>
              </w:rPr>
              <w:t>10</w:t>
            </w:r>
          </w:p>
        </w:tc>
        <w:tc>
          <w:tcPr>
            <w:tcW w:w="1984" w:type="dxa"/>
          </w:tcPr>
          <w:p w14:paraId="1692EB66" w14:textId="66BA4EB0" w:rsidR="00AC29F1" w:rsidRPr="00E52DA4" w:rsidRDefault="00BA3320" w:rsidP="009C0D42">
            <w:pPr>
              <w:rPr>
                <w:rFonts w:ascii="Book Antiqua" w:hAnsi="Book Antiqua"/>
                <w:szCs w:val="24"/>
              </w:rPr>
            </w:pPr>
            <w:r>
              <w:rPr>
                <w:rFonts w:ascii="Book Antiqua" w:hAnsi="Book Antiqua"/>
                <w:szCs w:val="24"/>
              </w:rPr>
              <w:t>General</w:t>
            </w:r>
          </w:p>
        </w:tc>
        <w:tc>
          <w:tcPr>
            <w:tcW w:w="5387" w:type="dxa"/>
          </w:tcPr>
          <w:p w14:paraId="1D5D5D55" w14:textId="2FC346EE" w:rsidR="00AC29F1" w:rsidRPr="00E52DA4" w:rsidRDefault="0027512D" w:rsidP="009C0D42">
            <w:pPr>
              <w:jc w:val="both"/>
              <w:rPr>
                <w:rFonts w:ascii="Book Antiqua" w:hAnsi="Book Antiqua"/>
                <w:szCs w:val="24"/>
              </w:rPr>
            </w:pPr>
            <w:r>
              <w:rPr>
                <w:rFonts w:ascii="Book Antiqua" w:hAnsi="Book Antiqua"/>
                <w:szCs w:val="24"/>
              </w:rPr>
              <w:t>M/s. XYZ (</w:t>
            </w:r>
            <w:r w:rsidR="00D20179">
              <w:rPr>
                <w:rFonts w:ascii="Book Antiqua" w:hAnsi="Book Antiqua"/>
                <w:szCs w:val="24"/>
              </w:rPr>
              <w:t xml:space="preserve">a </w:t>
            </w:r>
            <w:r w:rsidR="00E31935">
              <w:rPr>
                <w:rFonts w:ascii="Book Antiqua" w:hAnsi="Book Antiqua"/>
                <w:szCs w:val="24"/>
              </w:rPr>
              <w:t>dummy name)</w:t>
            </w:r>
            <w:r w:rsidR="002F491E" w:rsidRPr="002F491E">
              <w:rPr>
                <w:rFonts w:ascii="Book Antiqua" w:hAnsi="Book Antiqua"/>
                <w:szCs w:val="24"/>
              </w:rPr>
              <w:t xml:space="preserve"> has the relevant expertise and global experience to full-fill the technical scope items, including the markets analysis. However for certain scope items such as legal, we do not have in-house expertise and will require the use of sub-contractors to full-fill this scope as per the </w:t>
            </w:r>
            <w:proofErr w:type="spellStart"/>
            <w:r w:rsidR="002F491E" w:rsidRPr="002F491E">
              <w:rPr>
                <w:rFonts w:ascii="Book Antiqua" w:hAnsi="Book Antiqua"/>
                <w:szCs w:val="24"/>
              </w:rPr>
              <w:t>ToR</w:t>
            </w:r>
            <w:proofErr w:type="spellEnd"/>
            <w:r w:rsidR="002F491E" w:rsidRPr="002F491E">
              <w:rPr>
                <w:rFonts w:ascii="Book Antiqua" w:hAnsi="Book Antiqua"/>
                <w:szCs w:val="24"/>
              </w:rPr>
              <w:t xml:space="preserve">. Therefore, we request your careful consideration to allow for sub-contractors to be used for this scope of works with </w:t>
            </w:r>
            <w:r w:rsidR="00E31935">
              <w:rPr>
                <w:rFonts w:ascii="Book Antiqua" w:hAnsi="Book Antiqua"/>
                <w:szCs w:val="24"/>
              </w:rPr>
              <w:t>M/s. XYZ</w:t>
            </w:r>
            <w:r w:rsidR="002F491E" w:rsidRPr="002F491E">
              <w:rPr>
                <w:rFonts w:ascii="Book Antiqua" w:hAnsi="Book Antiqua"/>
                <w:szCs w:val="24"/>
              </w:rPr>
              <w:t xml:space="preserve"> as the prime. </w:t>
            </w:r>
          </w:p>
        </w:tc>
        <w:tc>
          <w:tcPr>
            <w:tcW w:w="5528" w:type="dxa"/>
          </w:tcPr>
          <w:p w14:paraId="21D23EFA" w14:textId="0FD20FF8" w:rsidR="00AC29F1" w:rsidRPr="00AC29F1" w:rsidRDefault="00EC47F6" w:rsidP="00755ED5">
            <w:pPr>
              <w:jc w:val="both"/>
              <w:rPr>
                <w:rFonts w:ascii="Book Antiqua" w:hAnsi="Book Antiqua"/>
                <w:szCs w:val="24"/>
              </w:rPr>
            </w:pPr>
            <w:r w:rsidRPr="00EC47F6">
              <w:rPr>
                <w:rFonts w:ascii="Book Antiqua" w:hAnsi="Book Antiqua"/>
                <w:szCs w:val="24"/>
              </w:rPr>
              <w:t xml:space="preserve">Since Legal and regulatory analysis is a requirement under Qualification requirements, bidder may </w:t>
            </w:r>
            <w:proofErr w:type="spellStart"/>
            <w:r w:rsidRPr="00EC47F6">
              <w:rPr>
                <w:rFonts w:ascii="Book Antiqua" w:hAnsi="Book Antiqua"/>
                <w:szCs w:val="24"/>
              </w:rPr>
              <w:t>fulfill</w:t>
            </w:r>
            <w:proofErr w:type="spellEnd"/>
            <w:r w:rsidRPr="00EC47F6">
              <w:rPr>
                <w:rFonts w:ascii="Book Antiqua" w:hAnsi="Book Antiqua"/>
                <w:szCs w:val="24"/>
              </w:rPr>
              <w:t xml:space="preserve"> this requirement through a JV/consortium</w:t>
            </w:r>
            <w:r w:rsidR="00BA3320">
              <w:rPr>
                <w:rFonts w:ascii="Book Antiqua" w:hAnsi="Book Antiqua"/>
                <w:szCs w:val="24"/>
              </w:rPr>
              <w:t>.</w:t>
            </w:r>
          </w:p>
        </w:tc>
      </w:tr>
      <w:tr w:rsidR="00BA3320" w:rsidRPr="00482B5C" w14:paraId="7E5B0D2E" w14:textId="77777777" w:rsidTr="009C0D42">
        <w:tc>
          <w:tcPr>
            <w:tcW w:w="988" w:type="dxa"/>
          </w:tcPr>
          <w:p w14:paraId="5FE24444" w14:textId="03866C25" w:rsidR="00BA3320" w:rsidRDefault="00BA3320" w:rsidP="009C0D42">
            <w:pPr>
              <w:rPr>
                <w:rFonts w:ascii="Book Antiqua" w:hAnsi="Book Antiqua"/>
                <w:szCs w:val="24"/>
              </w:rPr>
            </w:pPr>
            <w:r>
              <w:rPr>
                <w:rFonts w:ascii="Book Antiqua" w:hAnsi="Book Antiqua"/>
                <w:szCs w:val="24"/>
              </w:rPr>
              <w:t>11</w:t>
            </w:r>
          </w:p>
        </w:tc>
        <w:tc>
          <w:tcPr>
            <w:tcW w:w="1984" w:type="dxa"/>
          </w:tcPr>
          <w:p w14:paraId="0661D09B" w14:textId="2BC4105A" w:rsidR="00BA3320" w:rsidRDefault="00324234" w:rsidP="009C0D42">
            <w:pPr>
              <w:rPr>
                <w:rFonts w:ascii="Book Antiqua" w:hAnsi="Book Antiqua"/>
                <w:szCs w:val="24"/>
              </w:rPr>
            </w:pPr>
            <w:r>
              <w:rPr>
                <w:rFonts w:ascii="Book Antiqua" w:hAnsi="Book Antiqua"/>
                <w:szCs w:val="24"/>
              </w:rPr>
              <w:t>General</w:t>
            </w:r>
          </w:p>
        </w:tc>
        <w:tc>
          <w:tcPr>
            <w:tcW w:w="5387" w:type="dxa"/>
          </w:tcPr>
          <w:p w14:paraId="718C6CFF" w14:textId="6F06F22D" w:rsidR="00BA3320" w:rsidRDefault="00E31935" w:rsidP="009C0D42">
            <w:pPr>
              <w:jc w:val="both"/>
              <w:rPr>
                <w:rFonts w:ascii="Book Antiqua" w:hAnsi="Book Antiqua"/>
                <w:szCs w:val="24"/>
              </w:rPr>
            </w:pPr>
            <w:r>
              <w:rPr>
                <w:rFonts w:ascii="Book Antiqua" w:hAnsi="Book Antiqua"/>
                <w:szCs w:val="24"/>
              </w:rPr>
              <w:t>M/s. XYZ (a dummy name)</w:t>
            </w:r>
            <w:r w:rsidR="0027512D" w:rsidRPr="0027512D">
              <w:rPr>
                <w:rFonts w:ascii="Book Antiqua" w:hAnsi="Book Antiqua"/>
                <w:szCs w:val="24"/>
              </w:rPr>
              <w:t xml:space="preserve">, as a multinational corporation with legal entities in over 100 countries, often delivers complex projects through the collaborative efforts of multiple offices worldwide. In many cases, projects are registered across different countries, and relevant project references may pertain to various </w:t>
            </w:r>
            <w:r w:rsidR="007B1584">
              <w:rPr>
                <w:rFonts w:ascii="Book Antiqua" w:hAnsi="Book Antiqua"/>
                <w:szCs w:val="24"/>
              </w:rPr>
              <w:t>M/s. XYZ</w:t>
            </w:r>
            <w:r w:rsidR="0027512D" w:rsidRPr="0027512D">
              <w:rPr>
                <w:rFonts w:ascii="Book Antiqua" w:hAnsi="Book Antiqua"/>
                <w:szCs w:val="24"/>
              </w:rPr>
              <w:t xml:space="preserve"> offices. Given the global nature of this tender, our proposal will involve experts from multiple </w:t>
            </w:r>
            <w:r w:rsidR="007B1584">
              <w:rPr>
                <w:rFonts w:ascii="Book Antiqua" w:hAnsi="Book Antiqua"/>
                <w:szCs w:val="24"/>
              </w:rPr>
              <w:t>M/s. XYZ</w:t>
            </w:r>
            <w:r w:rsidR="0027512D" w:rsidRPr="0027512D">
              <w:rPr>
                <w:rFonts w:ascii="Book Antiqua" w:hAnsi="Book Antiqua"/>
                <w:szCs w:val="24"/>
              </w:rPr>
              <w:t xml:space="preserve"> offices with proven experience on similar assignments. We therefore request that such references and </w:t>
            </w:r>
            <w:r w:rsidR="0027512D" w:rsidRPr="0027512D">
              <w:rPr>
                <w:rFonts w:ascii="Book Antiqua" w:hAnsi="Book Antiqua"/>
                <w:szCs w:val="24"/>
              </w:rPr>
              <w:lastRenderedPageBreak/>
              <w:t>collaborative implementation models be accepted for qualification assessment.</w:t>
            </w:r>
          </w:p>
        </w:tc>
        <w:tc>
          <w:tcPr>
            <w:tcW w:w="5528" w:type="dxa"/>
          </w:tcPr>
          <w:p w14:paraId="333E76A9" w14:textId="7F115700" w:rsidR="00BA3320" w:rsidRPr="00EC47F6" w:rsidRDefault="00324234" w:rsidP="00755ED5">
            <w:pPr>
              <w:jc w:val="both"/>
              <w:rPr>
                <w:rFonts w:ascii="Book Antiqua" w:hAnsi="Book Antiqua"/>
                <w:szCs w:val="24"/>
              </w:rPr>
            </w:pPr>
            <w:r w:rsidRPr="00324234">
              <w:rPr>
                <w:rFonts w:ascii="Book Antiqua" w:hAnsi="Book Antiqua"/>
                <w:szCs w:val="24"/>
              </w:rPr>
              <w:lastRenderedPageBreak/>
              <w:t>As clarified above, Holding companies and its group companies can form JV/Consortium. However, they will be treated as one bidder.</w:t>
            </w:r>
          </w:p>
        </w:tc>
      </w:tr>
      <w:tr w:rsidR="002A126D" w:rsidRPr="00482B5C" w14:paraId="6D96C630" w14:textId="77777777" w:rsidTr="009C0D42">
        <w:tc>
          <w:tcPr>
            <w:tcW w:w="988" w:type="dxa"/>
          </w:tcPr>
          <w:p w14:paraId="4D19A0BA" w14:textId="0423016B" w:rsidR="002A126D" w:rsidRDefault="002A126D" w:rsidP="002A126D">
            <w:pPr>
              <w:rPr>
                <w:rFonts w:ascii="Book Antiqua" w:hAnsi="Book Antiqua"/>
                <w:szCs w:val="24"/>
              </w:rPr>
            </w:pPr>
            <w:r>
              <w:rPr>
                <w:rFonts w:ascii="Book Antiqua" w:hAnsi="Book Antiqua"/>
                <w:szCs w:val="24"/>
              </w:rPr>
              <w:t>12</w:t>
            </w:r>
          </w:p>
        </w:tc>
        <w:tc>
          <w:tcPr>
            <w:tcW w:w="1984" w:type="dxa"/>
          </w:tcPr>
          <w:p w14:paraId="6B37E0AD" w14:textId="390DA354" w:rsidR="002A126D" w:rsidRDefault="002A126D" w:rsidP="002A126D">
            <w:pPr>
              <w:rPr>
                <w:rFonts w:ascii="Book Antiqua" w:hAnsi="Book Antiqua"/>
                <w:szCs w:val="24"/>
              </w:rPr>
            </w:pPr>
            <w:r w:rsidRPr="00482B5C">
              <w:rPr>
                <w:rFonts w:ascii="Book Antiqua" w:hAnsi="Book Antiqua"/>
                <w:szCs w:val="24"/>
              </w:rPr>
              <w:t>General</w:t>
            </w:r>
          </w:p>
        </w:tc>
        <w:tc>
          <w:tcPr>
            <w:tcW w:w="5387" w:type="dxa"/>
          </w:tcPr>
          <w:p w14:paraId="59B33645" w14:textId="5B3FA328" w:rsidR="002A126D" w:rsidRDefault="002A126D" w:rsidP="002A126D">
            <w:pPr>
              <w:jc w:val="both"/>
              <w:rPr>
                <w:rFonts w:ascii="Book Antiqua" w:hAnsi="Book Antiqua"/>
                <w:szCs w:val="24"/>
              </w:rPr>
            </w:pPr>
            <w:r w:rsidRPr="000B6CCC">
              <w:rPr>
                <w:rFonts w:ascii="Book Antiqua" w:hAnsi="Book Antiqua"/>
                <w:szCs w:val="24"/>
              </w:rPr>
              <w:t>Withholding Tax: Is any withholding tax applicable for our project? If yes, please provide the applicable tax percentage.</w:t>
            </w:r>
          </w:p>
        </w:tc>
        <w:tc>
          <w:tcPr>
            <w:tcW w:w="5528" w:type="dxa"/>
          </w:tcPr>
          <w:p w14:paraId="189CEB7E" w14:textId="7838D351" w:rsidR="002A126D" w:rsidRPr="00B0160D" w:rsidRDefault="00C54110" w:rsidP="002A126D">
            <w:pPr>
              <w:jc w:val="both"/>
              <w:rPr>
                <w:rFonts w:ascii="Book Antiqua" w:hAnsi="Book Antiqua"/>
                <w:szCs w:val="24"/>
              </w:rPr>
            </w:pPr>
            <w:r w:rsidRPr="00C54110">
              <w:rPr>
                <w:rFonts w:ascii="Book Antiqua" w:hAnsi="Book Antiqua"/>
                <w:szCs w:val="24"/>
              </w:rPr>
              <w:t>Yes, withholding tax is applicable for the project as it falls under the scope of Fees for Technical Services (FTS) as per section 9 of the Income tax Act,1961. For the rate of deduction the tax treaty signed between India and bidder's country may be referred</w:t>
            </w:r>
            <w:r w:rsidR="002A126D" w:rsidRPr="00B0160D">
              <w:rPr>
                <w:rFonts w:ascii="Book Antiqua" w:hAnsi="Book Antiqua"/>
                <w:szCs w:val="24"/>
              </w:rPr>
              <w:t>.</w:t>
            </w:r>
          </w:p>
          <w:p w14:paraId="5702F320" w14:textId="77777777" w:rsidR="002A126D" w:rsidRPr="00B0160D" w:rsidRDefault="002A126D" w:rsidP="002A126D">
            <w:pPr>
              <w:jc w:val="both"/>
              <w:rPr>
                <w:rFonts w:ascii="Book Antiqua" w:hAnsi="Book Antiqua"/>
                <w:szCs w:val="24"/>
              </w:rPr>
            </w:pPr>
            <w:r w:rsidRPr="00B0160D">
              <w:rPr>
                <w:rFonts w:ascii="Book Antiqua" w:hAnsi="Book Antiqua"/>
                <w:szCs w:val="24"/>
              </w:rPr>
              <w:t> </w:t>
            </w:r>
          </w:p>
          <w:p w14:paraId="1E96D86A" w14:textId="0E846907" w:rsidR="00934DFF" w:rsidRPr="00B0160D" w:rsidRDefault="00934DFF" w:rsidP="00934DFF">
            <w:pPr>
              <w:jc w:val="both"/>
              <w:rPr>
                <w:rFonts w:ascii="Book Antiqua" w:hAnsi="Book Antiqua"/>
                <w:szCs w:val="24"/>
              </w:rPr>
            </w:pPr>
            <w:r w:rsidRPr="00934DFF">
              <w:rPr>
                <w:rFonts w:ascii="Book Antiqua" w:hAnsi="Book Antiqua"/>
                <w:szCs w:val="24"/>
              </w:rPr>
              <w:t>Further, there is provision u/s 195 of the income tax act for obtaining Nil/Lower rate of deduction from income tax authorities. This certificate, if granted authorizes CTUIL to deduct tax at lower/nil rate as specified by the income tax authorities.</w:t>
            </w:r>
          </w:p>
          <w:p w14:paraId="4B35E4C9" w14:textId="0CC617E9" w:rsidR="002A126D" w:rsidRPr="00324234" w:rsidRDefault="002A126D" w:rsidP="00934DFF">
            <w:pPr>
              <w:jc w:val="both"/>
              <w:rPr>
                <w:rFonts w:ascii="Book Antiqua" w:hAnsi="Book Antiqua"/>
                <w:szCs w:val="24"/>
              </w:rPr>
            </w:pPr>
            <w:r w:rsidRPr="00B0160D">
              <w:rPr>
                <w:rFonts w:ascii="Book Antiqua" w:hAnsi="Book Antiqua"/>
                <w:szCs w:val="24"/>
              </w:rPr>
              <w:t xml:space="preserve"> </w:t>
            </w:r>
          </w:p>
        </w:tc>
      </w:tr>
      <w:tr w:rsidR="00FB4EC6" w:rsidRPr="00482B5C" w14:paraId="2AF142D0" w14:textId="77777777" w:rsidTr="009C0D42">
        <w:tc>
          <w:tcPr>
            <w:tcW w:w="988" w:type="dxa"/>
          </w:tcPr>
          <w:p w14:paraId="435F1592" w14:textId="0F5E240C" w:rsidR="00FB4EC6" w:rsidRDefault="00FB4EC6" w:rsidP="00FB4EC6">
            <w:pPr>
              <w:rPr>
                <w:rFonts w:ascii="Book Antiqua" w:hAnsi="Book Antiqua"/>
                <w:szCs w:val="24"/>
              </w:rPr>
            </w:pPr>
            <w:r>
              <w:rPr>
                <w:rFonts w:ascii="Book Antiqua" w:hAnsi="Book Antiqua"/>
                <w:szCs w:val="24"/>
              </w:rPr>
              <w:t>13</w:t>
            </w:r>
          </w:p>
        </w:tc>
        <w:tc>
          <w:tcPr>
            <w:tcW w:w="1984" w:type="dxa"/>
          </w:tcPr>
          <w:p w14:paraId="31CB5177" w14:textId="336326F9" w:rsidR="00FB4EC6" w:rsidRDefault="00FB4EC6" w:rsidP="00FB4EC6">
            <w:pPr>
              <w:rPr>
                <w:rFonts w:ascii="Book Antiqua" w:hAnsi="Book Antiqua"/>
                <w:szCs w:val="24"/>
              </w:rPr>
            </w:pPr>
            <w:r>
              <w:rPr>
                <w:rFonts w:ascii="Book Antiqua" w:hAnsi="Book Antiqua"/>
                <w:szCs w:val="24"/>
              </w:rPr>
              <w:t xml:space="preserve">Column (5) of Schedule-1 of Price Schedule </w:t>
            </w:r>
          </w:p>
        </w:tc>
        <w:tc>
          <w:tcPr>
            <w:tcW w:w="5387" w:type="dxa"/>
          </w:tcPr>
          <w:p w14:paraId="7DDAF871" w14:textId="77777777" w:rsidR="00FB4EC6" w:rsidRPr="000B6CCC" w:rsidRDefault="00FB4EC6" w:rsidP="00FB4EC6">
            <w:pPr>
              <w:jc w:val="both"/>
              <w:rPr>
                <w:rFonts w:ascii="Book Antiqua" w:hAnsi="Book Antiqua"/>
                <w:szCs w:val="24"/>
              </w:rPr>
            </w:pPr>
            <w:r w:rsidRPr="000B6CCC">
              <w:rPr>
                <w:rFonts w:ascii="Book Antiqua" w:hAnsi="Book Antiqua"/>
                <w:szCs w:val="24"/>
              </w:rPr>
              <w:t>GST: We do not have a GST account in India. In the tax column, it is mentioned as 18% as a standard rate. Should we consider 0% for the GST column? Please confirm</w:t>
            </w:r>
          </w:p>
          <w:p w14:paraId="60010A63" w14:textId="77777777" w:rsidR="00FB4EC6" w:rsidRDefault="00FB4EC6" w:rsidP="00FB4EC6">
            <w:pPr>
              <w:jc w:val="both"/>
              <w:rPr>
                <w:rFonts w:ascii="Book Antiqua" w:hAnsi="Book Antiqua"/>
                <w:szCs w:val="24"/>
              </w:rPr>
            </w:pPr>
          </w:p>
        </w:tc>
        <w:tc>
          <w:tcPr>
            <w:tcW w:w="5528" w:type="dxa"/>
          </w:tcPr>
          <w:p w14:paraId="797040DF" w14:textId="125B69AA" w:rsidR="00DB7912" w:rsidRPr="00DB7912" w:rsidRDefault="00DB7912" w:rsidP="00DB7912">
            <w:pPr>
              <w:jc w:val="both"/>
              <w:rPr>
                <w:rFonts w:ascii="Book Antiqua" w:hAnsi="Book Antiqua"/>
                <w:szCs w:val="24"/>
              </w:rPr>
            </w:pPr>
            <w:r>
              <w:rPr>
                <w:rFonts w:ascii="Book Antiqua" w:hAnsi="Book Antiqua"/>
                <w:szCs w:val="24"/>
              </w:rPr>
              <w:t>In</w:t>
            </w:r>
            <w:r w:rsidRPr="00DB7912">
              <w:rPr>
                <w:rFonts w:ascii="Book Antiqua" w:hAnsi="Book Antiqua"/>
                <w:szCs w:val="24"/>
              </w:rPr>
              <w:t xml:space="preserve"> case the foreign bidder is not registered under GST in India and has no place of business in India.</w:t>
            </w:r>
          </w:p>
          <w:p w14:paraId="1EAB5A39" w14:textId="77777777" w:rsidR="00DB7912" w:rsidRDefault="00DB7912" w:rsidP="00FB4EC6">
            <w:pPr>
              <w:jc w:val="both"/>
              <w:rPr>
                <w:rFonts w:ascii="Book Antiqua" w:hAnsi="Book Antiqua"/>
                <w:szCs w:val="24"/>
              </w:rPr>
            </w:pPr>
          </w:p>
          <w:p w14:paraId="075F9173" w14:textId="77777777" w:rsidR="00FB4EC6" w:rsidRDefault="00F31657" w:rsidP="00FB4EC6">
            <w:pPr>
              <w:jc w:val="both"/>
              <w:rPr>
                <w:rFonts w:ascii="Book Antiqua" w:hAnsi="Book Antiqua"/>
                <w:szCs w:val="24"/>
              </w:rPr>
            </w:pPr>
            <w:r w:rsidRPr="00F31657">
              <w:rPr>
                <w:rFonts w:ascii="Book Antiqua" w:hAnsi="Book Antiqua"/>
                <w:szCs w:val="24"/>
              </w:rPr>
              <w:t>In such cases, the applicable GST is payable by the Indian recipient of the service i.e., CTUIL under the Reverse Charge Mechanism (RCM) for the import of services</w:t>
            </w:r>
            <w:r w:rsidR="00FB4EC6" w:rsidRPr="00520C33">
              <w:rPr>
                <w:rFonts w:ascii="Book Antiqua" w:hAnsi="Book Antiqua"/>
                <w:szCs w:val="24"/>
              </w:rPr>
              <w:t>.</w:t>
            </w:r>
          </w:p>
          <w:p w14:paraId="22F84EBC" w14:textId="2BAA7FE4" w:rsidR="00F31657" w:rsidRPr="00324234" w:rsidRDefault="00F31657" w:rsidP="00FB4EC6">
            <w:pPr>
              <w:jc w:val="both"/>
              <w:rPr>
                <w:rFonts w:ascii="Book Antiqua" w:hAnsi="Book Antiqua"/>
                <w:szCs w:val="24"/>
              </w:rPr>
            </w:pPr>
          </w:p>
        </w:tc>
      </w:tr>
      <w:tr w:rsidR="006C56CD" w:rsidRPr="00482B5C" w14:paraId="0F3072CD" w14:textId="77777777" w:rsidTr="009C0D42">
        <w:tc>
          <w:tcPr>
            <w:tcW w:w="988" w:type="dxa"/>
          </w:tcPr>
          <w:p w14:paraId="694C6C3E" w14:textId="0780D69D" w:rsidR="006C56CD" w:rsidRDefault="006C56CD" w:rsidP="006C56CD">
            <w:pPr>
              <w:rPr>
                <w:rFonts w:ascii="Book Antiqua" w:hAnsi="Book Antiqua"/>
                <w:szCs w:val="24"/>
              </w:rPr>
            </w:pPr>
            <w:r>
              <w:rPr>
                <w:rFonts w:ascii="Book Antiqua" w:hAnsi="Book Antiqua"/>
                <w:szCs w:val="24"/>
              </w:rPr>
              <w:t>14</w:t>
            </w:r>
          </w:p>
        </w:tc>
        <w:tc>
          <w:tcPr>
            <w:tcW w:w="1984" w:type="dxa"/>
          </w:tcPr>
          <w:p w14:paraId="33E1654F" w14:textId="547A0D06" w:rsidR="006C56CD" w:rsidRDefault="006C56CD" w:rsidP="006C56CD">
            <w:pPr>
              <w:rPr>
                <w:rFonts w:ascii="Book Antiqua" w:hAnsi="Book Antiqua"/>
                <w:szCs w:val="24"/>
              </w:rPr>
            </w:pPr>
            <w:r w:rsidRPr="00482B5C">
              <w:rPr>
                <w:rFonts w:ascii="Book Antiqua" w:hAnsi="Book Antiqua"/>
                <w:szCs w:val="24"/>
              </w:rPr>
              <w:t>General</w:t>
            </w:r>
          </w:p>
        </w:tc>
        <w:tc>
          <w:tcPr>
            <w:tcW w:w="5387" w:type="dxa"/>
          </w:tcPr>
          <w:p w14:paraId="68F858EB" w14:textId="5BEF06B9" w:rsidR="006C56CD" w:rsidRDefault="006C56CD" w:rsidP="00EC02AC">
            <w:pPr>
              <w:jc w:val="both"/>
              <w:rPr>
                <w:rFonts w:ascii="Book Antiqua" w:hAnsi="Book Antiqua"/>
                <w:szCs w:val="24"/>
              </w:rPr>
            </w:pPr>
            <w:r w:rsidRPr="00E20D94">
              <w:rPr>
                <w:rFonts w:ascii="Book Antiqua" w:hAnsi="Book Antiqua"/>
                <w:szCs w:val="24"/>
              </w:rPr>
              <w:t>Bank Account: We will be using our Belgium bank account for the payments if we are awarded the project</w:t>
            </w:r>
            <w:r>
              <w:rPr>
                <w:rFonts w:ascii="Book Antiqua" w:hAnsi="Book Antiqua"/>
                <w:szCs w:val="24"/>
              </w:rPr>
              <w:t>.</w:t>
            </w:r>
          </w:p>
        </w:tc>
        <w:tc>
          <w:tcPr>
            <w:tcW w:w="5528" w:type="dxa"/>
          </w:tcPr>
          <w:p w14:paraId="1A782BAE" w14:textId="1FAACDA0" w:rsidR="006C56CD" w:rsidRPr="00324234" w:rsidRDefault="006C56CD" w:rsidP="006C56CD">
            <w:pPr>
              <w:jc w:val="both"/>
              <w:rPr>
                <w:rFonts w:ascii="Book Antiqua" w:hAnsi="Book Antiqua"/>
                <w:szCs w:val="24"/>
              </w:rPr>
            </w:pPr>
            <w:r>
              <w:rPr>
                <w:rFonts w:ascii="Book Antiqua" w:hAnsi="Book Antiqua"/>
                <w:szCs w:val="24"/>
              </w:rPr>
              <w:t>Please cl. 33.2, Section-III of Bidding document</w:t>
            </w:r>
          </w:p>
        </w:tc>
      </w:tr>
    </w:tbl>
    <w:p w14:paraId="5798B1CE" w14:textId="77777777" w:rsidR="00E8745C" w:rsidRPr="00482B5C" w:rsidRDefault="00E8745C">
      <w:pPr>
        <w:rPr>
          <w:szCs w:val="24"/>
        </w:rPr>
      </w:pPr>
    </w:p>
    <w:sectPr w:rsidR="00E8745C" w:rsidRPr="00482B5C" w:rsidSect="00EB1B9F">
      <w:headerReference w:type="default" r:id="rId7"/>
      <w:footerReference w:type="default" r:id="rId8"/>
      <w:head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FDA0B" w14:textId="77777777" w:rsidR="00F6598E" w:rsidRDefault="00F6598E" w:rsidP="00B36297">
      <w:pPr>
        <w:spacing w:after="0" w:line="240" w:lineRule="auto"/>
      </w:pPr>
      <w:r>
        <w:separator/>
      </w:r>
    </w:p>
  </w:endnote>
  <w:endnote w:type="continuationSeparator" w:id="0">
    <w:p w14:paraId="7CD856CE" w14:textId="77777777" w:rsidR="00F6598E" w:rsidRDefault="00F6598E" w:rsidP="00B3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1030" w14:textId="77777777" w:rsidR="0018790A" w:rsidRDefault="0018790A" w:rsidP="0018790A">
    <w:pPr>
      <w:pStyle w:val="Footer"/>
      <w:jc w:val="right"/>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5E4C550B" w14:textId="77777777" w:rsidR="00542F54" w:rsidRDefault="0054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7F13" w14:textId="77777777" w:rsidR="00F6598E" w:rsidRDefault="00F6598E" w:rsidP="00B36297">
      <w:pPr>
        <w:spacing w:after="0" w:line="240" w:lineRule="auto"/>
      </w:pPr>
      <w:r>
        <w:separator/>
      </w:r>
    </w:p>
  </w:footnote>
  <w:footnote w:type="continuationSeparator" w:id="0">
    <w:p w14:paraId="10BF2D5D" w14:textId="77777777" w:rsidR="00F6598E" w:rsidRDefault="00F6598E" w:rsidP="00B3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6510B" w14:textId="714F00D2" w:rsidR="00B572CE" w:rsidRDefault="00EB1B9F">
    <w:pPr>
      <w:pStyle w:val="Header"/>
      <w:rPr>
        <w:rFonts w:ascii="Book Antiqua" w:hAnsi="Book Antiqua"/>
        <w:b/>
        <w:bCs/>
      </w:rPr>
    </w:pPr>
    <w:r>
      <w:rPr>
        <w:rFonts w:ascii="Book Antiqua" w:hAnsi="Book Antiqua"/>
        <w:b/>
        <w:bCs/>
      </w:rPr>
      <w:t>Clarification</w:t>
    </w:r>
    <w:r w:rsidR="00B572CE">
      <w:rPr>
        <w:rFonts w:ascii="Book Antiqua" w:hAnsi="Book Antiqua"/>
        <w:b/>
        <w:bCs/>
      </w:rPr>
      <w:t>-I</w:t>
    </w:r>
    <w:r w:rsidR="00B572CE" w:rsidRPr="00B572CE">
      <w:rPr>
        <w:rFonts w:ascii="Book Antiqua" w:hAnsi="Book Antiqua"/>
        <w:b/>
        <w:bCs/>
      </w:rPr>
      <w:t xml:space="preserve"> dated </w:t>
    </w:r>
    <w:r w:rsidR="00F72265">
      <w:rPr>
        <w:rFonts w:ascii="Book Antiqua" w:hAnsi="Book Antiqua"/>
        <w:b/>
        <w:bCs/>
      </w:rPr>
      <w:t>06</w:t>
    </w:r>
    <w:r w:rsidR="00B572CE" w:rsidRPr="00B572CE">
      <w:rPr>
        <w:rFonts w:ascii="Book Antiqua" w:hAnsi="Book Antiqua"/>
        <w:b/>
        <w:bCs/>
      </w:rPr>
      <w:t>.0</w:t>
    </w:r>
    <w:r>
      <w:rPr>
        <w:rFonts w:ascii="Book Antiqua" w:hAnsi="Book Antiqua"/>
        <w:b/>
        <w:bCs/>
      </w:rPr>
      <w:t>5</w:t>
    </w:r>
    <w:r w:rsidR="00B572CE" w:rsidRPr="00B572CE">
      <w:rPr>
        <w:rFonts w:ascii="Book Antiqua" w:hAnsi="Book Antiqua"/>
        <w:b/>
        <w:bCs/>
      </w:rPr>
      <w:t xml:space="preserve">.2025 in </w:t>
    </w:r>
    <w:r w:rsidR="009C0D42">
      <w:rPr>
        <w:rFonts w:ascii="Book Antiqua" w:hAnsi="Book Antiqua"/>
        <w:b/>
        <w:bCs/>
      </w:rPr>
      <w:t xml:space="preserve">the bidding document of </w:t>
    </w:r>
    <w:r w:rsidR="00B572CE" w:rsidRPr="00B572CE">
      <w:rPr>
        <w:rFonts w:ascii="Book Antiqua" w:hAnsi="Book Antiqua"/>
        <w:b/>
        <w:bCs/>
      </w:rPr>
      <w:t>Appointment of Consultant For feasibility study of India – Saudi Arabia grid interconnection through undersea cable, assess technical and economic aspects. Specification No.: CC/NT/S-CONS/DOM/A37/25/03188</w:t>
    </w:r>
  </w:p>
  <w:p w14:paraId="20601922" w14:textId="77777777" w:rsidR="009C0D42" w:rsidRDefault="009C0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E77F" w14:textId="16095163" w:rsidR="00E51930" w:rsidRPr="00B572CE" w:rsidRDefault="00E51930" w:rsidP="00B572CE">
    <w:pPr>
      <w:pStyle w:val="Header"/>
      <w:jc w:val="both"/>
      <w:rPr>
        <w:rFonts w:ascii="Book Antiqua" w:hAnsi="Book Antiqua"/>
        <w:b/>
        <w:bCs/>
      </w:rPr>
    </w:pPr>
    <w:r w:rsidRPr="00B572CE">
      <w:rPr>
        <w:rFonts w:ascii="Book Antiqua" w:hAnsi="Book Antiqua"/>
        <w:b/>
        <w:bCs/>
      </w:rPr>
      <w:t>Clarification</w:t>
    </w:r>
    <w:r w:rsidR="008F4428">
      <w:rPr>
        <w:rFonts w:ascii="Book Antiqua" w:hAnsi="Book Antiqua"/>
        <w:b/>
        <w:bCs/>
      </w:rPr>
      <w:t>-I</w:t>
    </w:r>
    <w:r w:rsidRPr="00B572CE">
      <w:rPr>
        <w:rFonts w:ascii="Book Antiqua" w:hAnsi="Book Antiqua"/>
        <w:b/>
        <w:bCs/>
      </w:rPr>
      <w:t xml:space="preserve"> dated xx.</w:t>
    </w:r>
    <w:r w:rsidR="00CC32A4">
      <w:rPr>
        <w:rFonts w:ascii="Book Antiqua" w:hAnsi="Book Antiqua"/>
        <w:b/>
        <w:bCs/>
      </w:rPr>
      <w:t>05</w:t>
    </w:r>
    <w:r w:rsidRPr="00B572CE">
      <w:rPr>
        <w:rFonts w:ascii="Book Antiqua" w:hAnsi="Book Antiqua"/>
        <w:b/>
        <w:bCs/>
      </w:rPr>
      <w:t xml:space="preserve">.2025 in </w:t>
    </w:r>
    <w:r w:rsidR="00B572CE">
      <w:rPr>
        <w:rFonts w:ascii="Book Antiqua" w:hAnsi="Book Antiqua"/>
        <w:b/>
        <w:bCs/>
      </w:rPr>
      <w:t xml:space="preserve">the bidding document of </w:t>
    </w:r>
    <w:r w:rsidR="00B572CE" w:rsidRPr="00B572CE">
      <w:rPr>
        <w:rFonts w:ascii="Book Antiqua" w:hAnsi="Book Antiqua"/>
        <w:b/>
        <w:bCs/>
      </w:rPr>
      <w:t>Appointment of Consultant For feasibility study of India – Saudi Arabia grid interconnection through undersea cable, assess technical and economic aspects. Specification No.: CC/NT/S-CONS/DOM/A37/25/03188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07AB3"/>
    <w:multiLevelType w:val="hybridMultilevel"/>
    <w:tmpl w:val="DB1C81EE"/>
    <w:lvl w:ilvl="0" w:tplc="FFFFFFFF">
      <w:start w:val="1"/>
      <w:numFmt w:val="lowerLetter"/>
      <w:lvlText w:val="(%1)"/>
      <w:lvlJc w:val="left"/>
      <w:pPr>
        <w:ind w:left="2130" w:hanging="69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6C1663F7"/>
    <w:multiLevelType w:val="hybridMultilevel"/>
    <w:tmpl w:val="DB1C81EE"/>
    <w:lvl w:ilvl="0" w:tplc="045212A0">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6517710">
    <w:abstractNumId w:val="1"/>
  </w:num>
  <w:num w:numId="2" w16cid:durableId="13962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5C"/>
    <w:rsid w:val="00036AD7"/>
    <w:rsid w:val="000936B5"/>
    <w:rsid w:val="000B0880"/>
    <w:rsid w:val="000C7705"/>
    <w:rsid w:val="0018790A"/>
    <w:rsid w:val="00232D1C"/>
    <w:rsid w:val="0027512D"/>
    <w:rsid w:val="002A126D"/>
    <w:rsid w:val="002F491E"/>
    <w:rsid w:val="00324234"/>
    <w:rsid w:val="00370461"/>
    <w:rsid w:val="00390354"/>
    <w:rsid w:val="00425E51"/>
    <w:rsid w:val="004723EC"/>
    <w:rsid w:val="00474B2C"/>
    <w:rsid w:val="00481D4F"/>
    <w:rsid w:val="00482B5C"/>
    <w:rsid w:val="00492868"/>
    <w:rsid w:val="004A6132"/>
    <w:rsid w:val="00542F54"/>
    <w:rsid w:val="00556719"/>
    <w:rsid w:val="00583AA1"/>
    <w:rsid w:val="005D5A69"/>
    <w:rsid w:val="005E38AD"/>
    <w:rsid w:val="00603AA9"/>
    <w:rsid w:val="006C56CD"/>
    <w:rsid w:val="007207C8"/>
    <w:rsid w:val="00755ED5"/>
    <w:rsid w:val="007A49C9"/>
    <w:rsid w:val="007B1584"/>
    <w:rsid w:val="00822129"/>
    <w:rsid w:val="008604E8"/>
    <w:rsid w:val="008F4428"/>
    <w:rsid w:val="00924880"/>
    <w:rsid w:val="00934DFF"/>
    <w:rsid w:val="009C0D42"/>
    <w:rsid w:val="00A5259E"/>
    <w:rsid w:val="00AC29F1"/>
    <w:rsid w:val="00AD1B3D"/>
    <w:rsid w:val="00B36297"/>
    <w:rsid w:val="00B572CE"/>
    <w:rsid w:val="00B83BA7"/>
    <w:rsid w:val="00B91857"/>
    <w:rsid w:val="00BA3320"/>
    <w:rsid w:val="00C03F6A"/>
    <w:rsid w:val="00C24D17"/>
    <w:rsid w:val="00C54110"/>
    <w:rsid w:val="00CC32A4"/>
    <w:rsid w:val="00CD0A17"/>
    <w:rsid w:val="00D064CB"/>
    <w:rsid w:val="00D20179"/>
    <w:rsid w:val="00D43E41"/>
    <w:rsid w:val="00D6729F"/>
    <w:rsid w:val="00D842E8"/>
    <w:rsid w:val="00DB7912"/>
    <w:rsid w:val="00E31935"/>
    <w:rsid w:val="00E51930"/>
    <w:rsid w:val="00E52DA4"/>
    <w:rsid w:val="00E8745C"/>
    <w:rsid w:val="00EB1B9F"/>
    <w:rsid w:val="00EC02AC"/>
    <w:rsid w:val="00EC47F6"/>
    <w:rsid w:val="00F31657"/>
    <w:rsid w:val="00F342F8"/>
    <w:rsid w:val="00F6598E"/>
    <w:rsid w:val="00F72265"/>
    <w:rsid w:val="00F92823"/>
    <w:rsid w:val="00FB4E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960A9"/>
  <w15:chartTrackingRefBased/>
  <w15:docId w15:val="{BC14C8E0-C4F7-4228-81E1-BDA36EFF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8745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E8745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E8745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87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45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E8745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E8745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87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45C"/>
    <w:rPr>
      <w:rFonts w:eastAsiaTheme="majorEastAsia" w:cstheme="majorBidi"/>
      <w:color w:val="272727" w:themeColor="text1" w:themeTint="D8"/>
    </w:rPr>
  </w:style>
  <w:style w:type="paragraph" w:styleId="Title">
    <w:name w:val="Title"/>
    <w:basedOn w:val="Normal"/>
    <w:next w:val="Normal"/>
    <w:link w:val="TitleChar"/>
    <w:uiPriority w:val="10"/>
    <w:qFormat/>
    <w:rsid w:val="00E8745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8745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8745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8745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8745C"/>
    <w:pPr>
      <w:spacing w:before="160"/>
      <w:jc w:val="center"/>
    </w:pPr>
    <w:rPr>
      <w:i/>
      <w:iCs/>
      <w:color w:val="404040" w:themeColor="text1" w:themeTint="BF"/>
    </w:rPr>
  </w:style>
  <w:style w:type="character" w:customStyle="1" w:styleId="QuoteChar">
    <w:name w:val="Quote Char"/>
    <w:basedOn w:val="DefaultParagraphFont"/>
    <w:link w:val="Quote"/>
    <w:uiPriority w:val="29"/>
    <w:rsid w:val="00E8745C"/>
    <w:rPr>
      <w:rFonts w:cs="Mangal"/>
      <w:i/>
      <w:iCs/>
      <w:color w:val="404040" w:themeColor="text1" w:themeTint="BF"/>
    </w:rPr>
  </w:style>
  <w:style w:type="paragraph" w:styleId="ListParagraph">
    <w:name w:val="List Paragraph"/>
    <w:aliases w:val="heading 9,Annexure,List Paragraph1,Heading 91,Heading 911,Heading 9111,Heading 91111,Heading 92,WinDForce-Letter,List Paragraph11,List Paragraph2,Heading 911111,Heading 93,Heading 94,Heading 95,Bullet 05,Heading 921,Heading 96,Heading 97"/>
    <w:basedOn w:val="Normal"/>
    <w:link w:val="ListParagraphChar"/>
    <w:qFormat/>
    <w:rsid w:val="00E8745C"/>
    <w:pPr>
      <w:ind w:left="720"/>
      <w:contextualSpacing/>
    </w:pPr>
  </w:style>
  <w:style w:type="character" w:styleId="IntenseEmphasis">
    <w:name w:val="Intense Emphasis"/>
    <w:basedOn w:val="DefaultParagraphFont"/>
    <w:uiPriority w:val="21"/>
    <w:qFormat/>
    <w:rsid w:val="00E8745C"/>
    <w:rPr>
      <w:i/>
      <w:iCs/>
      <w:color w:val="0F4761" w:themeColor="accent1" w:themeShade="BF"/>
    </w:rPr>
  </w:style>
  <w:style w:type="paragraph" w:styleId="IntenseQuote">
    <w:name w:val="Intense Quote"/>
    <w:basedOn w:val="Normal"/>
    <w:next w:val="Normal"/>
    <w:link w:val="IntenseQuoteChar"/>
    <w:uiPriority w:val="30"/>
    <w:qFormat/>
    <w:rsid w:val="00E87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45C"/>
    <w:rPr>
      <w:rFonts w:cs="Mangal"/>
      <w:i/>
      <w:iCs/>
      <w:color w:val="0F4761" w:themeColor="accent1" w:themeShade="BF"/>
    </w:rPr>
  </w:style>
  <w:style w:type="character" w:styleId="IntenseReference">
    <w:name w:val="Intense Reference"/>
    <w:basedOn w:val="DefaultParagraphFont"/>
    <w:uiPriority w:val="32"/>
    <w:qFormat/>
    <w:rsid w:val="00E8745C"/>
    <w:rPr>
      <w:b/>
      <w:bCs/>
      <w:smallCaps/>
      <w:color w:val="0F4761" w:themeColor="accent1" w:themeShade="BF"/>
      <w:spacing w:val="5"/>
    </w:rPr>
  </w:style>
  <w:style w:type="table" w:styleId="TableGrid">
    <w:name w:val="Table Grid"/>
    <w:basedOn w:val="TableNormal"/>
    <w:uiPriority w:val="39"/>
    <w:rsid w:val="00E8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911111 Char"/>
    <w:link w:val="ListParagraph"/>
    <w:qFormat/>
    <w:locked/>
    <w:rsid w:val="00E8745C"/>
    <w:rPr>
      <w:rFonts w:cs="Mangal"/>
    </w:rPr>
  </w:style>
  <w:style w:type="paragraph" w:styleId="Header">
    <w:name w:val="header"/>
    <w:basedOn w:val="Normal"/>
    <w:link w:val="HeaderChar"/>
    <w:uiPriority w:val="99"/>
    <w:unhideWhenUsed/>
    <w:rsid w:val="00B36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97"/>
    <w:rPr>
      <w:rFonts w:cs="Mangal"/>
    </w:rPr>
  </w:style>
  <w:style w:type="paragraph" w:styleId="Footer">
    <w:name w:val="footer"/>
    <w:basedOn w:val="Normal"/>
    <w:link w:val="FooterChar"/>
    <w:uiPriority w:val="99"/>
    <w:unhideWhenUsed/>
    <w:rsid w:val="00B36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9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75305">
      <w:bodyDiv w:val="1"/>
      <w:marLeft w:val="0"/>
      <w:marRight w:val="0"/>
      <w:marTop w:val="0"/>
      <w:marBottom w:val="0"/>
      <w:divBdr>
        <w:top w:val="none" w:sz="0" w:space="0" w:color="auto"/>
        <w:left w:val="none" w:sz="0" w:space="0" w:color="auto"/>
        <w:bottom w:val="none" w:sz="0" w:space="0" w:color="auto"/>
        <w:right w:val="none" w:sz="0" w:space="0" w:color="auto"/>
      </w:divBdr>
    </w:div>
    <w:div w:id="541750226">
      <w:bodyDiv w:val="1"/>
      <w:marLeft w:val="0"/>
      <w:marRight w:val="0"/>
      <w:marTop w:val="0"/>
      <w:marBottom w:val="0"/>
      <w:divBdr>
        <w:top w:val="none" w:sz="0" w:space="0" w:color="auto"/>
        <w:left w:val="none" w:sz="0" w:space="0" w:color="auto"/>
        <w:bottom w:val="none" w:sz="0" w:space="0" w:color="auto"/>
        <w:right w:val="none" w:sz="0" w:space="0" w:color="auto"/>
      </w:divBdr>
    </w:div>
    <w:div w:id="908659529">
      <w:bodyDiv w:val="1"/>
      <w:marLeft w:val="0"/>
      <w:marRight w:val="0"/>
      <w:marTop w:val="0"/>
      <w:marBottom w:val="0"/>
      <w:divBdr>
        <w:top w:val="none" w:sz="0" w:space="0" w:color="auto"/>
        <w:left w:val="none" w:sz="0" w:space="0" w:color="auto"/>
        <w:bottom w:val="none" w:sz="0" w:space="0" w:color="auto"/>
        <w:right w:val="none" w:sz="0" w:space="0" w:color="auto"/>
      </w:divBdr>
    </w:div>
    <w:div w:id="1552837819">
      <w:bodyDiv w:val="1"/>
      <w:marLeft w:val="0"/>
      <w:marRight w:val="0"/>
      <w:marTop w:val="0"/>
      <w:marBottom w:val="0"/>
      <w:divBdr>
        <w:top w:val="none" w:sz="0" w:space="0" w:color="auto"/>
        <w:left w:val="none" w:sz="0" w:space="0" w:color="auto"/>
        <w:bottom w:val="none" w:sz="0" w:space="0" w:color="auto"/>
        <w:right w:val="none" w:sz="0" w:space="0" w:color="auto"/>
      </w:divBdr>
    </w:div>
    <w:div w:id="1723284510">
      <w:bodyDiv w:val="1"/>
      <w:marLeft w:val="0"/>
      <w:marRight w:val="0"/>
      <w:marTop w:val="0"/>
      <w:marBottom w:val="0"/>
      <w:divBdr>
        <w:top w:val="none" w:sz="0" w:space="0" w:color="auto"/>
        <w:left w:val="none" w:sz="0" w:space="0" w:color="auto"/>
        <w:bottom w:val="none" w:sz="0" w:space="0" w:color="auto"/>
        <w:right w:val="none" w:sz="0" w:space="0" w:color="auto"/>
      </w:divBdr>
    </w:div>
    <w:div w:id="1753619061">
      <w:bodyDiv w:val="1"/>
      <w:marLeft w:val="0"/>
      <w:marRight w:val="0"/>
      <w:marTop w:val="0"/>
      <w:marBottom w:val="0"/>
      <w:divBdr>
        <w:top w:val="none" w:sz="0" w:space="0" w:color="auto"/>
        <w:left w:val="none" w:sz="0" w:space="0" w:color="auto"/>
        <w:bottom w:val="none" w:sz="0" w:space="0" w:color="auto"/>
        <w:right w:val="none" w:sz="0" w:space="0" w:color="auto"/>
      </w:divBdr>
    </w:div>
    <w:div w:id="1873347516">
      <w:bodyDiv w:val="1"/>
      <w:marLeft w:val="0"/>
      <w:marRight w:val="0"/>
      <w:marTop w:val="0"/>
      <w:marBottom w:val="0"/>
      <w:divBdr>
        <w:top w:val="none" w:sz="0" w:space="0" w:color="auto"/>
        <w:left w:val="none" w:sz="0" w:space="0" w:color="auto"/>
        <w:bottom w:val="none" w:sz="0" w:space="0" w:color="auto"/>
        <w:right w:val="none" w:sz="0" w:space="0" w:color="auto"/>
      </w:divBdr>
      <w:divsChild>
        <w:div w:id="873888177">
          <w:marLeft w:val="0"/>
          <w:marRight w:val="0"/>
          <w:marTop w:val="0"/>
          <w:marBottom w:val="0"/>
          <w:divBdr>
            <w:top w:val="none" w:sz="0" w:space="0" w:color="auto"/>
            <w:left w:val="none" w:sz="0" w:space="0" w:color="auto"/>
            <w:bottom w:val="none" w:sz="0" w:space="0" w:color="auto"/>
            <w:right w:val="none" w:sz="0" w:space="0" w:color="auto"/>
          </w:divBdr>
        </w:div>
      </w:divsChild>
    </w:div>
    <w:div w:id="2127696854">
      <w:bodyDiv w:val="1"/>
      <w:marLeft w:val="0"/>
      <w:marRight w:val="0"/>
      <w:marTop w:val="0"/>
      <w:marBottom w:val="0"/>
      <w:divBdr>
        <w:top w:val="none" w:sz="0" w:space="0" w:color="auto"/>
        <w:left w:val="none" w:sz="0" w:space="0" w:color="auto"/>
        <w:bottom w:val="none" w:sz="0" w:space="0" w:color="auto"/>
        <w:right w:val="none" w:sz="0" w:space="0" w:color="auto"/>
      </w:divBdr>
      <w:divsChild>
        <w:div w:id="52259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Rahul . {राहुल}</cp:lastModifiedBy>
  <cp:revision>18</cp:revision>
  <cp:lastPrinted>2025-05-02T10:31:00Z</cp:lastPrinted>
  <dcterms:created xsi:type="dcterms:W3CDTF">2025-05-01T09:23:00Z</dcterms:created>
  <dcterms:modified xsi:type="dcterms:W3CDTF">2025-05-06T09:31:00Z</dcterms:modified>
</cp:coreProperties>
</file>