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718878EB" w14:textId="7CEE3FB8" w:rsidR="00D95EE7" w:rsidRPr="00F91926" w:rsidRDefault="0039254F" w:rsidP="005E32B5">
      <w:pPr>
        <w:ind w:left="-284" w:right="-738"/>
        <w:jc w:val="center"/>
        <w:rPr>
          <w:rFonts w:ascii="Book Antiqua" w:hAnsi="Book Antiqua" w:cs="Arial"/>
          <w:b/>
          <w:bCs/>
          <w:color w:val="365F91" w:themeColor="accent1" w:themeShade="BF"/>
          <w:sz w:val="22"/>
          <w:szCs w:val="22"/>
        </w:rPr>
      </w:pPr>
      <w:r w:rsidRPr="0039254F">
        <w:rPr>
          <w:rFonts w:ascii="Book Antiqua" w:hAnsi="Book Antiqua" w:cs="Arial"/>
          <w:b/>
          <w:bCs/>
          <w:color w:val="365F91" w:themeColor="accent1" w:themeShade="BF"/>
          <w:sz w:val="22"/>
          <w:szCs w:val="22"/>
        </w:rPr>
        <w:t>Appointment of Independent Engineer for “Transmission system for evacuation of power from Rajasthan REZ Ph-V (Part-1: 4 GW) [</w:t>
      </w:r>
      <w:proofErr w:type="spellStart"/>
      <w:r w:rsidRPr="0039254F">
        <w:rPr>
          <w:rFonts w:ascii="Book Antiqua" w:hAnsi="Book Antiqua" w:cs="Arial"/>
          <w:b/>
          <w:bCs/>
          <w:color w:val="365F91" w:themeColor="accent1" w:themeShade="BF"/>
          <w:sz w:val="22"/>
          <w:szCs w:val="22"/>
        </w:rPr>
        <w:t>Sirohi</w:t>
      </w:r>
      <w:proofErr w:type="spellEnd"/>
      <w:r w:rsidRPr="0039254F">
        <w:rPr>
          <w:rFonts w:ascii="Book Antiqua" w:hAnsi="Book Antiqua" w:cs="Arial"/>
          <w:b/>
          <w:bCs/>
          <w:color w:val="365F91" w:themeColor="accent1" w:themeShade="BF"/>
          <w:sz w:val="22"/>
          <w:szCs w:val="22"/>
        </w:rPr>
        <w:t xml:space="preserve">/ </w:t>
      </w:r>
      <w:proofErr w:type="spellStart"/>
      <w:r w:rsidRPr="0039254F">
        <w:rPr>
          <w:rFonts w:ascii="Book Antiqua" w:hAnsi="Book Antiqua" w:cs="Arial"/>
          <w:b/>
          <w:bCs/>
          <w:color w:val="365F91" w:themeColor="accent1" w:themeShade="BF"/>
          <w:sz w:val="22"/>
          <w:szCs w:val="22"/>
        </w:rPr>
        <w:t>Nagaur</w:t>
      </w:r>
      <w:proofErr w:type="spellEnd"/>
      <w:r w:rsidRPr="0039254F">
        <w:rPr>
          <w:rFonts w:ascii="Book Antiqua" w:hAnsi="Book Antiqua" w:cs="Arial"/>
          <w:b/>
          <w:bCs/>
          <w:color w:val="365F91" w:themeColor="accent1" w:themeShade="BF"/>
          <w:sz w:val="22"/>
          <w:szCs w:val="22"/>
        </w:rPr>
        <w:t>] Complex”</w:t>
      </w:r>
    </w:p>
    <w:p w14:paraId="1B93B3DA" w14:textId="77777777" w:rsidR="00D95EE7" w:rsidRPr="00F91926" w:rsidRDefault="00D95EE7" w:rsidP="00D95EE7">
      <w:pPr>
        <w:jc w:val="center"/>
        <w:rPr>
          <w:rFonts w:ascii="Book Antiqua" w:hAnsi="Book Antiqua" w:cs="Arial"/>
          <w:b/>
          <w:bCs/>
          <w:color w:val="365F91" w:themeColor="accent1" w:themeShade="BF"/>
          <w:sz w:val="22"/>
          <w:szCs w:val="22"/>
        </w:rPr>
      </w:pPr>
    </w:p>
    <w:p w14:paraId="08FD061A" w14:textId="3E621136" w:rsidR="003646BE" w:rsidRPr="00182149" w:rsidRDefault="00D95EE7" w:rsidP="00D95EE7">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E25D16" w:rsidRPr="00E25D16">
        <w:rPr>
          <w:rFonts w:ascii="Book Antiqua" w:hAnsi="Book Antiqua" w:cs="Arial"/>
          <w:b/>
          <w:bCs/>
          <w:color w:val="365F91" w:themeColor="accent1" w:themeShade="BF"/>
          <w:sz w:val="22"/>
          <w:szCs w:val="22"/>
        </w:rPr>
        <w:t>CTUIL/IE/2025-26/76</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w:t>
      </w:r>
      <w:proofErr w:type="gramStart"/>
      <w:r w:rsidRPr="00FC0343">
        <w:rPr>
          <w:rFonts w:ascii="Book Antiqua" w:hAnsi="Book Antiqua" w:cs="Arial"/>
          <w:sz w:val="22"/>
          <w:szCs w:val="22"/>
        </w:rPr>
        <w:t>corporation</w:t>
      </w:r>
      <w:proofErr w:type="gramEnd"/>
      <w:r w:rsidRPr="00FC0343">
        <w:rPr>
          <w:rFonts w:ascii="Book Antiqua" w:hAnsi="Book Antiqua" w:cs="Arial"/>
          <w:sz w:val="22"/>
          <w:szCs w:val="22"/>
        </w:rPr>
        <w:t xml:space="preserve"> and </w:t>
      </w:r>
      <w:proofErr w:type="gramStart"/>
      <w:r w:rsidRPr="00FC0343">
        <w:rPr>
          <w:rFonts w:ascii="Book Antiqua" w:hAnsi="Book Antiqua" w:cs="Arial"/>
          <w:sz w:val="22"/>
          <w:szCs w:val="22"/>
        </w:rPr>
        <w:t>association</w:t>
      </w:r>
      <w:proofErr w:type="gramEnd"/>
      <w:r w:rsidRPr="00FC0343">
        <w:rPr>
          <w:rFonts w:ascii="Book Antiqua" w:hAnsi="Book Antiqua" w:cs="Arial"/>
          <w:sz w:val="22"/>
          <w:szCs w:val="22"/>
        </w:rPr>
        <w:t xml:space="preserve">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proofErr w:type="gramStart"/>
      <w:r w:rsidR="004151A7">
        <w:rPr>
          <w:rFonts w:ascii="Book Antiqua" w:hAnsi="Book Antiqua" w:cs="Arial"/>
          <w:sz w:val="22"/>
          <w:szCs w:val="22"/>
        </w:rPr>
        <w:t>Engineer</w:t>
      </w:r>
      <w:proofErr w:type="gramEnd"/>
      <w:r w:rsidR="004151A7">
        <w:rPr>
          <w:rFonts w:ascii="Book Antiqua" w:hAnsi="Book Antiqua" w:cs="Arial"/>
          <w:sz w:val="22"/>
          <w:szCs w:val="22"/>
        </w:rPr>
        <w:t>-</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w:t>
      </w:r>
      <w:proofErr w:type="gramStart"/>
      <w:r w:rsidRPr="007C118A">
        <w:rPr>
          <w:rFonts w:ascii="Book Antiqua" w:hAnsi="Book Antiqua"/>
          <w:b/>
          <w:bCs/>
        </w:rPr>
        <w:t>submits</w:t>
      </w:r>
      <w:proofErr w:type="gramEnd"/>
      <w:r w:rsidRPr="007C118A">
        <w:rPr>
          <w:rFonts w:ascii="Book Antiqua" w:hAnsi="Book Antiqua"/>
          <w:b/>
          <w:bCs/>
        </w:rPr>
        <w:t xml:space="preserve">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w:t>
      </w:r>
      <w:proofErr w:type="gramStart"/>
      <w:r w:rsidRPr="00FC229D">
        <w:rPr>
          <w:rFonts w:ascii="Book Antiqua" w:hAnsi="Book Antiqua" w:cs="Arial"/>
          <w:sz w:val="22"/>
          <w:szCs w:val="22"/>
        </w:rPr>
        <w:t>its</w:t>
      </w:r>
      <w:proofErr w:type="gramEnd"/>
      <w:r w:rsidRPr="00FC229D">
        <w:rPr>
          <w:rFonts w:ascii="Book Antiqua" w:hAnsi="Book Antiqua" w:cs="Arial"/>
          <w:sz w:val="22"/>
          <w:szCs w:val="22"/>
        </w:rPr>
        <w:t xml:space="preserve">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w:t>
      </w:r>
      <w:r w:rsidRPr="00FC229D">
        <w:rPr>
          <w:rFonts w:ascii="Book Antiqua" w:hAnsi="Book Antiqua"/>
          <w:sz w:val="22"/>
          <w:szCs w:val="22"/>
        </w:rPr>
        <w:lastRenderedPageBreak/>
        <w:t xml:space="preserve">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5D260755"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14EA54DB"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 xml:space="preserve">Declaration for </w:t>
            </w:r>
            <w:proofErr w:type="gramStart"/>
            <w:r w:rsidRPr="004519E4">
              <w:rPr>
                <w:rFonts w:ascii="Book Antiqua" w:hAnsi="Book Antiqua"/>
                <w:b/>
                <w:bCs/>
                <w:sz w:val="22"/>
                <w:szCs w:val="22"/>
              </w:rPr>
              <w:t>Code</w:t>
            </w:r>
            <w:proofErr w:type="gramEnd"/>
            <w:r w:rsidRPr="004519E4">
              <w:rPr>
                <w:rFonts w:ascii="Book Antiqua" w:hAnsi="Book Antiqua"/>
                <w:b/>
                <w:bCs/>
                <w:sz w:val="22"/>
                <w:szCs w:val="22"/>
              </w:rPr>
              <w:t xml:space="preserv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lastRenderedPageBreak/>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517060EE"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122003, Haryana</w:t>
      </w:r>
    </w:p>
    <w:p w14:paraId="2D7BB8F3" w14:textId="77777777" w:rsidR="00742E2C" w:rsidRDefault="00742E2C" w:rsidP="00E71A30">
      <w:pPr>
        <w:pStyle w:val="NoSpacing"/>
        <w:rPr>
          <w:rFonts w:ascii="Book Antiqua" w:hAnsi="Book Antiqua"/>
          <w:b/>
          <w:bCs/>
          <w:lang w:val="en-GB"/>
        </w:rPr>
      </w:pPr>
    </w:p>
    <w:p w14:paraId="0D0FA85A" w14:textId="06E7F29E"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FC3A70">
        <w:rPr>
          <w:rFonts w:ascii="Book Antiqua" w:hAnsi="Book Antiqua"/>
          <w:b/>
          <w:bCs/>
          <w:lang w:val="en-GB"/>
        </w:rPr>
        <w:t>Rahul</w:t>
      </w:r>
      <w:r w:rsidR="00AC4930">
        <w:rPr>
          <w:rFonts w:ascii="Book Antiqua" w:hAnsi="Book Antiqua"/>
          <w:b/>
          <w:bCs/>
          <w:lang w:val="en-GB"/>
        </w:rPr>
        <w:t xml:space="preserve"> </w:t>
      </w:r>
      <w:r w:rsidR="00701E23" w:rsidRPr="00701E23">
        <w:rPr>
          <w:rFonts w:ascii="Book Antiqua" w:hAnsi="Book Antiqua"/>
          <w:b/>
          <w:bCs/>
          <w:lang w:val="en-GB"/>
        </w:rPr>
        <w:t xml:space="preserve">(Manager,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 xml:space="preserve">Mr. </w:t>
      </w:r>
      <w:proofErr w:type="spellStart"/>
      <w:r w:rsidR="00FC3A70">
        <w:rPr>
          <w:rFonts w:ascii="Book Antiqua" w:hAnsi="Book Antiqua"/>
          <w:b/>
          <w:bCs/>
          <w:lang w:val="en-GB"/>
        </w:rPr>
        <w:t>Moolchand</w:t>
      </w:r>
      <w:proofErr w:type="spellEnd"/>
      <w:r w:rsidR="00FC3A70">
        <w:rPr>
          <w:rFonts w:ascii="Book Antiqua" w:hAnsi="Book Antiqua"/>
          <w:b/>
          <w:bCs/>
          <w:lang w:val="en-GB"/>
        </w:rPr>
        <w:t xml:space="preserve"> Khichar</w:t>
      </w:r>
      <w:r w:rsidR="00B325FF">
        <w:rPr>
          <w:rFonts w:ascii="Book Antiqua" w:hAnsi="Book Antiqua"/>
          <w:b/>
          <w:bCs/>
          <w:lang w:val="en-GB"/>
        </w:rPr>
        <w:t xml:space="preserve"> </w:t>
      </w:r>
      <w:r w:rsidR="008B13C5" w:rsidRPr="008B13C5">
        <w:rPr>
          <w:rFonts w:ascii="Book Antiqua" w:hAnsi="Book Antiqua"/>
          <w:b/>
          <w:bCs/>
          <w:lang w:val="en-GB"/>
        </w:rPr>
        <w:t>(</w:t>
      </w:r>
      <w:r w:rsidR="00FC3A70">
        <w:rPr>
          <w:rFonts w:ascii="Book Antiqua" w:hAnsi="Book Antiqua"/>
          <w:b/>
          <w:bCs/>
          <w:lang w:val="en-GB"/>
        </w:rPr>
        <w:t>Engineer</w:t>
      </w:r>
      <w:r w:rsidR="008B13C5" w:rsidRPr="008B13C5">
        <w:rPr>
          <w:rFonts w:ascii="Book Antiqua" w:hAnsi="Book Antiqua"/>
          <w:b/>
          <w:bCs/>
          <w:lang w:val="en-GB"/>
        </w:rPr>
        <w:t>, C&amp;M-CTUIL)</w:t>
      </w:r>
    </w:p>
    <w:p w14:paraId="1355A6D8" w14:textId="77777777" w:rsidR="00E71A30" w:rsidRPr="00E71A30" w:rsidRDefault="00E71A30" w:rsidP="00E71A30">
      <w:pPr>
        <w:pStyle w:val="NoSpacing"/>
        <w:rPr>
          <w:rFonts w:ascii="Book Antiqua" w:hAnsi="Book Antiqua"/>
          <w:b/>
          <w:bCs/>
          <w:lang w:val="en-GB"/>
        </w:rPr>
      </w:pPr>
    </w:p>
    <w:p w14:paraId="033456BB" w14:textId="40FE3D6E" w:rsidR="00D937A3"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Mobile: +91- </w:t>
      </w:r>
      <w:r w:rsidR="00732146" w:rsidRPr="00E71A30">
        <w:rPr>
          <w:rFonts w:ascii="Book Antiqua" w:hAnsi="Book Antiqua"/>
          <w:b/>
          <w:bCs/>
          <w:lang w:val="en-GB"/>
        </w:rPr>
        <w:t>9205472328</w:t>
      </w:r>
      <w:r w:rsidR="00FC3A70">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w:t>
      </w:r>
      <w:r w:rsidR="005E21DA" w:rsidRPr="00FC0343">
        <w:rPr>
          <w:rFonts w:ascii="Book Antiqua" w:hAnsi="Book Antiqua" w:cs="Arial"/>
          <w:sz w:val="22"/>
          <w:szCs w:val="22"/>
        </w:rPr>
        <w:lastRenderedPageBreak/>
        <w:t xml:space="preserve">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proofErr w:type="gramStart"/>
      <w:r w:rsidR="00B57052">
        <w:rPr>
          <w:rFonts w:ascii="Book Antiqua" w:hAnsi="Book Antiqua" w:cs="Arial"/>
          <w:sz w:val="22"/>
          <w:szCs w:val="22"/>
        </w:rPr>
        <w:t>Proposal</w:t>
      </w:r>
      <w:proofErr w:type="gramEnd"/>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w:t>
      </w:r>
      <w:proofErr w:type="gramStart"/>
      <w:r w:rsidRPr="007C118A">
        <w:rPr>
          <w:rFonts w:ascii="Book Antiqua" w:hAnsi="Book Antiqua" w:cs="Arial"/>
          <w:sz w:val="22"/>
          <w:szCs w:val="22"/>
        </w:rPr>
        <w:t>sole</w:t>
      </w:r>
      <w:proofErr w:type="gramEnd"/>
      <w:r w:rsidRPr="007C118A">
        <w:rPr>
          <w:rFonts w:ascii="Book Antiqua" w:hAnsi="Book Antiqua" w:cs="Arial"/>
          <w:sz w:val="22"/>
          <w:szCs w:val="22"/>
        </w:rPr>
        <w:t xml:space="preserv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w:t>
      </w:r>
      <w:r w:rsidR="005E21DA" w:rsidRPr="00FC0343">
        <w:rPr>
          <w:rFonts w:ascii="Book Antiqua" w:hAnsi="Book Antiqua" w:cs="Arial"/>
          <w:sz w:val="22"/>
          <w:szCs w:val="22"/>
        </w:rPr>
        <w:lastRenderedPageBreak/>
        <w:t xml:space="preserve">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 xml:space="preserve">In case where the bidders mention the project experience in MM-YYYY to MM-YYYY format, the start date and end date of the project experience mentioned in the CV shall be </w:t>
      </w:r>
      <w:r w:rsidRPr="00941C7B">
        <w:rPr>
          <w:rFonts w:ascii="Book Antiqua" w:hAnsi="Book Antiqua"/>
          <w:i/>
          <w:iCs/>
          <w:sz w:val="22"/>
          <w:szCs w:val="22"/>
        </w:rPr>
        <w:lastRenderedPageBreak/>
        <w:t>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lastRenderedPageBreak/>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proofErr w:type="gramStart"/>
      <w:r w:rsidR="0036725E">
        <w:rPr>
          <w:rFonts w:ascii="Book Antiqua" w:hAnsi="Book Antiqua" w:cs="Arial"/>
          <w:sz w:val="22"/>
          <w:szCs w:val="22"/>
        </w:rPr>
        <w:t>Employer</w:t>
      </w:r>
      <w:proofErr w:type="gramEnd"/>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w:t>
      </w:r>
      <w:r w:rsidR="00A32CC5" w:rsidRPr="00FC0343">
        <w:rPr>
          <w:rFonts w:ascii="Book Antiqua" w:hAnsi="Book Antiqua" w:cs="Arial"/>
          <w:sz w:val="22"/>
          <w:szCs w:val="22"/>
        </w:rPr>
        <w:lastRenderedPageBreak/>
        <w:t>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lastRenderedPageBreak/>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w:t>
      </w:r>
      <w:proofErr w:type="gramStart"/>
      <w:r w:rsidR="00033313" w:rsidRPr="00CE3820">
        <w:rPr>
          <w:rFonts w:ascii="Book Antiqua" w:hAnsi="Book Antiqua" w:cs="Arial"/>
          <w:sz w:val="22"/>
          <w:szCs w:val="22"/>
        </w:rPr>
        <w:t>Bank</w:t>
      </w:r>
      <w:proofErr w:type="gramEnd"/>
      <w:r w:rsidR="00033313" w:rsidRPr="00CE3820">
        <w:rPr>
          <w:rFonts w:ascii="Book Antiqua" w:hAnsi="Book Antiqua" w:cs="Arial"/>
          <w:sz w:val="22"/>
          <w:szCs w:val="22"/>
        </w:rPr>
        <w:t xml:space="preserve">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w:t>
      </w:r>
      <w:proofErr w:type="gramStart"/>
      <w:r w:rsidRPr="007C118A">
        <w:rPr>
          <w:rFonts w:ascii="Book Antiqua" w:hAnsi="Book Antiqua"/>
          <w:sz w:val="22"/>
          <w:szCs w:val="22"/>
        </w:rPr>
        <w:t>award</w:t>
      </w:r>
      <w:proofErr w:type="gramEnd"/>
      <w:r w:rsidRPr="007C118A">
        <w:rPr>
          <w:rFonts w:ascii="Book Antiqua" w:hAnsi="Book Antiqua"/>
          <w:sz w:val="22"/>
          <w:szCs w:val="22"/>
        </w:rPr>
        <w:t xml:space="preserve">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lastRenderedPageBreak/>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w:t>
      </w:r>
      <w:r w:rsidR="00D043CE" w:rsidRPr="00D043CE">
        <w:rPr>
          <w:rStyle w:val="Hyperlink"/>
          <w:rFonts w:ascii="Book Antiqua" w:eastAsia="Batang" w:hAnsi="Book Antiqua" w:cs="Arial"/>
          <w:color w:val="000000" w:themeColor="text1"/>
          <w:sz w:val="22"/>
          <w:szCs w:val="22"/>
          <w:u w:val="none"/>
        </w:rPr>
        <w:lastRenderedPageBreak/>
        <w:t xml:space="preserve">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w:t>
      </w:r>
      <w:r w:rsidR="00D55E63">
        <w:rPr>
          <w:rFonts w:ascii="Book Antiqua" w:hAnsi="Book Antiqua" w:cs="Arial"/>
          <w:sz w:val="22"/>
          <w:szCs w:val="22"/>
        </w:rPr>
        <w:lastRenderedPageBreak/>
        <w:t xml:space="preserve">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w:t>
      </w:r>
      <w:r w:rsidR="00CD4D10" w:rsidRPr="00451D8E">
        <w:rPr>
          <w:rFonts w:ascii="Book Antiqua" w:hAnsi="Book Antiqua" w:cs="Arial"/>
          <w:bCs/>
          <w:sz w:val="22"/>
          <w:szCs w:val="22"/>
        </w:rPr>
        <w:lastRenderedPageBreak/>
        <w:t>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proofErr w:type="gramStart"/>
      <w:r w:rsidR="00BF722D" w:rsidRPr="00115D6B">
        <w:rPr>
          <w:rFonts w:ascii="Book Antiqua" w:hAnsi="Book Antiqua" w:cs="Arial"/>
          <w:bCs/>
          <w:sz w:val="22"/>
          <w:szCs w:val="22"/>
        </w:rPr>
        <w:t>consultant</w:t>
      </w:r>
      <w:proofErr w:type="gramEnd"/>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lastRenderedPageBreak/>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lastRenderedPageBreak/>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2333"/>
        <w:gridCol w:w="5583"/>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w:t>
      </w:r>
      <w:proofErr w:type="gramStart"/>
      <w:r w:rsidRPr="007C0FE9">
        <w:rPr>
          <w:rFonts w:ascii="Book Antiqua" w:hAnsi="Book Antiqua" w:cs="Arial"/>
          <w:bCs/>
          <w:sz w:val="22"/>
          <w:szCs w:val="22"/>
        </w:rPr>
        <w:t>Conciliation</w:t>
      </w:r>
      <w:proofErr w:type="gramEnd"/>
      <w:r w:rsidRPr="007C0FE9">
        <w:rPr>
          <w:rFonts w:ascii="Book Antiqua" w:hAnsi="Book Antiqua" w:cs="Arial"/>
          <w:bCs/>
          <w:sz w:val="22"/>
          <w:szCs w:val="22"/>
        </w:rPr>
        <w:t xml:space="preserve">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w:t>
      </w:r>
      <w:r w:rsidRPr="007C0FE9">
        <w:rPr>
          <w:rFonts w:ascii="Book Antiqua" w:hAnsi="Book Antiqua" w:cs="Arial"/>
          <w:sz w:val="22"/>
          <w:szCs w:val="22"/>
        </w:rPr>
        <w:lastRenderedPageBreak/>
        <w:t xml:space="preserve">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w:t>
      </w:r>
      <w:r w:rsidR="00AC2B93" w:rsidRPr="00532882">
        <w:rPr>
          <w:rFonts w:ascii="Book Antiqua" w:hAnsi="Book Antiqua" w:cs="Arial"/>
          <w:color w:val="000000"/>
          <w:sz w:val="22"/>
          <w:szCs w:val="22"/>
        </w:rPr>
        <w:lastRenderedPageBreak/>
        <w:t>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11"/>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CC03A3" w14:textId="77777777" w:rsidR="007B62D8" w:rsidRDefault="007B62D8" w:rsidP="003E7F85">
      <w:r>
        <w:separator/>
      </w:r>
    </w:p>
  </w:endnote>
  <w:endnote w:type="continuationSeparator" w:id="0">
    <w:p w14:paraId="03DA66B1" w14:textId="77777777" w:rsidR="007B62D8" w:rsidRDefault="007B62D8" w:rsidP="003E7F85">
      <w:r>
        <w:continuationSeparator/>
      </w:r>
    </w:p>
  </w:endnote>
  <w:endnote w:type="continuationNotice" w:id="1">
    <w:p w14:paraId="27695D52" w14:textId="77777777" w:rsidR="007B62D8" w:rsidRDefault="007B62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695423" w14:textId="77777777" w:rsidR="007B62D8" w:rsidRDefault="007B62D8" w:rsidP="003E7F85">
      <w:r>
        <w:separator/>
      </w:r>
    </w:p>
  </w:footnote>
  <w:footnote w:type="continuationSeparator" w:id="0">
    <w:p w14:paraId="103262CE" w14:textId="77777777" w:rsidR="007B62D8" w:rsidRDefault="007B62D8" w:rsidP="003E7F85">
      <w:r>
        <w:continuationSeparator/>
      </w:r>
    </w:p>
  </w:footnote>
  <w:footnote w:type="continuationNotice" w:id="1">
    <w:p w14:paraId="79342E39" w14:textId="77777777" w:rsidR="007B62D8" w:rsidRDefault="007B62D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5557474">
    <w:abstractNumId w:val="7"/>
  </w:num>
  <w:num w:numId="2" w16cid:durableId="496464475">
    <w:abstractNumId w:val="21"/>
  </w:num>
  <w:num w:numId="3" w16cid:durableId="1880118214">
    <w:abstractNumId w:val="6"/>
  </w:num>
  <w:num w:numId="4" w16cid:durableId="915743577">
    <w:abstractNumId w:val="27"/>
  </w:num>
  <w:num w:numId="5" w16cid:durableId="776363818">
    <w:abstractNumId w:val="31"/>
  </w:num>
  <w:num w:numId="6" w16cid:durableId="216555941">
    <w:abstractNumId w:val="5"/>
  </w:num>
  <w:num w:numId="7" w16cid:durableId="1109161717">
    <w:abstractNumId w:val="32"/>
  </w:num>
  <w:num w:numId="8" w16cid:durableId="1194539873">
    <w:abstractNumId w:val="29"/>
  </w:num>
  <w:num w:numId="9" w16cid:durableId="1961373777">
    <w:abstractNumId w:val="20"/>
  </w:num>
  <w:num w:numId="10" w16cid:durableId="1549948043">
    <w:abstractNumId w:val="16"/>
  </w:num>
  <w:num w:numId="11" w16cid:durableId="1705714925">
    <w:abstractNumId w:val="1"/>
  </w:num>
  <w:num w:numId="12" w16cid:durableId="1034309419">
    <w:abstractNumId w:val="3"/>
  </w:num>
  <w:num w:numId="13" w16cid:durableId="95105029">
    <w:abstractNumId w:val="37"/>
  </w:num>
  <w:num w:numId="14" w16cid:durableId="1337418602">
    <w:abstractNumId w:val="45"/>
  </w:num>
  <w:num w:numId="15" w16cid:durableId="902524856">
    <w:abstractNumId w:val="22"/>
  </w:num>
  <w:num w:numId="16" w16cid:durableId="1676954526">
    <w:abstractNumId w:val="11"/>
  </w:num>
  <w:num w:numId="17" w16cid:durableId="1662348593">
    <w:abstractNumId w:val="38"/>
  </w:num>
  <w:num w:numId="18" w16cid:durableId="1422726303">
    <w:abstractNumId w:val="18"/>
  </w:num>
  <w:num w:numId="19" w16cid:durableId="921062634">
    <w:abstractNumId w:val="39"/>
  </w:num>
  <w:num w:numId="20" w16cid:durableId="1389645641">
    <w:abstractNumId w:val="14"/>
  </w:num>
  <w:num w:numId="21" w16cid:durableId="641353635">
    <w:abstractNumId w:val="12"/>
  </w:num>
  <w:num w:numId="22" w16cid:durableId="371004986">
    <w:abstractNumId w:val="35"/>
  </w:num>
  <w:num w:numId="23" w16cid:durableId="185973523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9841495">
    <w:abstractNumId w:val="43"/>
  </w:num>
  <w:num w:numId="25" w16cid:durableId="1861166986">
    <w:abstractNumId w:val="2"/>
  </w:num>
  <w:num w:numId="26" w16cid:durableId="1234001984">
    <w:abstractNumId w:val="19"/>
  </w:num>
  <w:num w:numId="27" w16cid:durableId="1006791655">
    <w:abstractNumId w:val="25"/>
  </w:num>
  <w:num w:numId="28" w16cid:durableId="149294394">
    <w:abstractNumId w:val="34"/>
  </w:num>
  <w:num w:numId="29" w16cid:durableId="1937785878">
    <w:abstractNumId w:val="33"/>
  </w:num>
  <w:num w:numId="30" w16cid:durableId="1208105316">
    <w:abstractNumId w:val="28"/>
  </w:num>
  <w:num w:numId="31" w16cid:durableId="921910926">
    <w:abstractNumId w:val="17"/>
  </w:num>
  <w:num w:numId="32" w16cid:durableId="2129472354">
    <w:abstractNumId w:val="42"/>
  </w:num>
  <w:num w:numId="33" w16cid:durableId="523833931">
    <w:abstractNumId w:val="40"/>
  </w:num>
  <w:num w:numId="34" w16cid:durableId="1092582124">
    <w:abstractNumId w:val="24"/>
  </w:num>
  <w:num w:numId="35" w16cid:durableId="1612400493">
    <w:abstractNumId w:val="15"/>
  </w:num>
  <w:num w:numId="36" w16cid:durableId="1589073569">
    <w:abstractNumId w:val="36"/>
  </w:num>
  <w:num w:numId="37" w16cid:durableId="1492214300">
    <w:abstractNumId w:val="26"/>
  </w:num>
  <w:num w:numId="38" w16cid:durableId="791290009">
    <w:abstractNumId w:val="30"/>
  </w:num>
  <w:num w:numId="39" w16cid:durableId="2077819001">
    <w:abstractNumId w:val="13"/>
  </w:num>
  <w:num w:numId="40" w16cid:durableId="1072238936">
    <w:abstractNumId w:val="41"/>
  </w:num>
  <w:num w:numId="41" w16cid:durableId="145322223">
    <w:abstractNumId w:val="8"/>
  </w:num>
  <w:num w:numId="42" w16cid:durableId="1760755962">
    <w:abstractNumId w:val="4"/>
  </w:num>
  <w:num w:numId="43" w16cid:durableId="707948211">
    <w:abstractNumId w:val="10"/>
  </w:num>
  <w:num w:numId="44" w16cid:durableId="1917402412">
    <w:abstractNumId w:val="0"/>
  </w:num>
  <w:num w:numId="45" w16cid:durableId="1804804997">
    <w:abstractNumId w:val="44"/>
  </w:num>
  <w:num w:numId="46" w16cid:durableId="1239948333">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6C7B"/>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254F"/>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3B3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12E2"/>
    <w:rsid w:val="005B2EFE"/>
    <w:rsid w:val="005B3686"/>
    <w:rsid w:val="005B3A9A"/>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877A2"/>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5615"/>
    <w:rsid w:val="00AE228D"/>
    <w:rsid w:val="00AE2EE3"/>
    <w:rsid w:val="00AE6099"/>
    <w:rsid w:val="00AE616A"/>
    <w:rsid w:val="00AE7CD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25D16"/>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8E7EF-3DBF-4EC0-BC72-B3C0B40F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6052</TotalTime>
  <Pages>43</Pages>
  <Words>15831</Words>
  <Characters>90238</Characters>
  <Application>Microsoft Office Word</Application>
  <DocSecurity>0</DocSecurity>
  <Lines>751</Lines>
  <Paragraphs>211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105858</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369</cp:revision>
  <cp:lastPrinted>2022-12-29T14:59:00Z</cp:lastPrinted>
  <dcterms:created xsi:type="dcterms:W3CDTF">2022-07-12T08:01:00Z</dcterms:created>
  <dcterms:modified xsi:type="dcterms:W3CDTF">2025-04-16T07:32:00Z</dcterms:modified>
  <cp:contentStatus/>
</cp:coreProperties>
</file>