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pStyle w:val="Heading1"/>
        <w:spacing w:before="90"/>
        <w:ind w:left="0" w:right="195" w:firstLine="0"/>
        <w:jc w:val="right"/>
      </w:pPr>
      <w:r>
        <w:rPr/>
        <w:t>CON-6</w:t>
      </w:r>
    </w:p>
    <w:p>
      <w:pPr>
        <w:pStyle w:val="BodyText"/>
        <w:spacing w:before="2"/>
        <w:rPr>
          <w:b/>
          <w:sz w:val="22"/>
        </w:rPr>
      </w:pPr>
    </w:p>
    <w:p>
      <w:pPr>
        <w:spacing w:before="90"/>
        <w:ind w:left="3563" w:right="3520" w:firstLine="0"/>
        <w:jc w:val="center"/>
        <w:rPr>
          <w:b/>
          <w:sz w:val="24"/>
        </w:rPr>
      </w:pPr>
      <w:r>
        <w:rPr>
          <w:b/>
          <w:sz w:val="24"/>
        </w:rPr>
        <w:t>Connection Agreement</w:t>
      </w:r>
    </w:p>
    <w:p>
      <w:pPr>
        <w:pStyle w:val="BodyText"/>
        <w:rPr>
          <w:b/>
          <w:sz w:val="26"/>
        </w:rPr>
      </w:pPr>
    </w:p>
    <w:p>
      <w:pPr>
        <w:pStyle w:val="BodyText"/>
        <w:spacing w:before="3"/>
        <w:rPr>
          <w:b/>
          <w:sz w:val="22"/>
        </w:rPr>
      </w:pPr>
    </w:p>
    <w:p>
      <w:pPr>
        <w:pStyle w:val="BodyText"/>
        <w:spacing w:line="600" w:lineRule="auto"/>
        <w:ind w:left="240" w:right="2877"/>
      </w:pPr>
      <w:r>
        <w:rPr/>
        <w:t>THIS AGREEMENT is made the [……] day of [………], 20[….] AMONGST:</w:t>
      </w:r>
    </w:p>
    <w:p>
      <w:pPr>
        <w:pStyle w:val="BodyText"/>
        <w:spacing w:line="300" w:lineRule="auto" w:before="15"/>
        <w:ind w:left="1320" w:right="156"/>
        <w:jc w:val="both"/>
      </w:pPr>
      <w:r>
        <w:rPr>
          <w:b/>
          <w:i/>
        </w:rPr>
        <w:t>[Central Transmission Utility of India Limited] </w:t>
      </w:r>
      <w:r>
        <w:rPr/>
        <w:t>(hereinafter called the “</w:t>
      </w:r>
      <w:r>
        <w:rPr>
          <w:b/>
        </w:rPr>
        <w:t>CTU</w:t>
      </w:r>
      <w:r>
        <w:rPr/>
        <w:t>”) having its registered office at Plot No. 2,Sector 29, Gurugram 122001, Haryana, which expression shall unless repugnant to the context or meaning thereof be deemed to mean and include its successors or permitted assigns;</w:t>
      </w:r>
    </w:p>
    <w:p>
      <w:pPr>
        <w:pStyle w:val="BodyText"/>
        <w:spacing w:before="5"/>
        <w:rPr>
          <w:sz w:val="30"/>
        </w:rPr>
      </w:pPr>
    </w:p>
    <w:p>
      <w:pPr>
        <w:pStyle w:val="BodyText"/>
        <w:ind w:left="3563" w:right="3220"/>
        <w:jc w:val="center"/>
      </w:pPr>
      <w:r>
        <w:rPr/>
        <w:t>And</w:t>
      </w:r>
    </w:p>
    <w:p>
      <w:pPr>
        <w:pStyle w:val="BodyText"/>
        <w:spacing w:before="10"/>
        <w:rPr>
          <w:sz w:val="35"/>
        </w:rPr>
      </w:pPr>
    </w:p>
    <w:p>
      <w:pPr>
        <w:spacing w:line="297" w:lineRule="auto" w:before="1"/>
        <w:ind w:left="1320" w:right="153" w:firstLine="0"/>
        <w:jc w:val="both"/>
        <w:rPr>
          <w:sz w:val="24"/>
        </w:rPr>
      </w:pPr>
      <w:r>
        <w:rPr>
          <w:b/>
          <w:i/>
          <w:sz w:val="24"/>
        </w:rPr>
        <w:t>[Name and registered address of the applicant Company]  </w:t>
      </w:r>
      <w:r>
        <w:rPr>
          <w:sz w:val="24"/>
        </w:rPr>
        <w:t>(hereinafter  called “</w:t>
      </w:r>
      <w:r>
        <w:rPr>
          <w:b/>
          <w:sz w:val="24"/>
        </w:rPr>
        <w:t>the</w:t>
      </w:r>
      <w:r>
        <w:rPr>
          <w:b/>
          <w:spacing w:val="-15"/>
          <w:sz w:val="24"/>
        </w:rPr>
        <w:t> </w:t>
      </w:r>
      <w:r>
        <w:rPr>
          <w:b/>
          <w:sz w:val="24"/>
        </w:rPr>
        <w:t>Applicant</w:t>
      </w:r>
      <w:r>
        <w:rPr>
          <w:sz w:val="24"/>
        </w:rPr>
        <w:t>”)</w:t>
      </w:r>
      <w:r>
        <w:rPr>
          <w:spacing w:val="-14"/>
          <w:sz w:val="24"/>
        </w:rPr>
        <w:t> </w:t>
      </w:r>
      <w:r>
        <w:rPr>
          <w:sz w:val="24"/>
        </w:rPr>
        <w:t>which</w:t>
      </w:r>
      <w:r>
        <w:rPr>
          <w:spacing w:val="-10"/>
          <w:sz w:val="24"/>
        </w:rPr>
        <w:t> </w:t>
      </w:r>
      <w:r>
        <w:rPr>
          <w:sz w:val="24"/>
        </w:rPr>
        <w:t>expression</w:t>
      </w:r>
      <w:r>
        <w:rPr>
          <w:spacing w:val="-11"/>
          <w:sz w:val="24"/>
        </w:rPr>
        <w:t> </w:t>
      </w:r>
      <w:r>
        <w:rPr>
          <w:sz w:val="24"/>
        </w:rPr>
        <w:t>shall</w:t>
      </w:r>
      <w:r>
        <w:rPr>
          <w:spacing w:val="-14"/>
          <w:sz w:val="24"/>
        </w:rPr>
        <w:t> </w:t>
      </w:r>
      <w:r>
        <w:rPr>
          <w:sz w:val="24"/>
        </w:rPr>
        <w:t>unless</w:t>
      </w:r>
      <w:r>
        <w:rPr>
          <w:spacing w:val="-11"/>
          <w:sz w:val="24"/>
        </w:rPr>
        <w:t> </w:t>
      </w:r>
      <w:r>
        <w:rPr>
          <w:sz w:val="24"/>
        </w:rPr>
        <w:t>repugnant</w:t>
      </w:r>
      <w:r>
        <w:rPr>
          <w:spacing w:val="-11"/>
          <w:sz w:val="24"/>
        </w:rPr>
        <w:t> </w:t>
      </w:r>
      <w:r>
        <w:rPr>
          <w:sz w:val="24"/>
        </w:rPr>
        <w:t>to</w:t>
      </w:r>
      <w:r>
        <w:rPr>
          <w:spacing w:val="-12"/>
          <w:sz w:val="24"/>
        </w:rPr>
        <w:t> </w:t>
      </w:r>
      <w:r>
        <w:rPr>
          <w:sz w:val="24"/>
        </w:rPr>
        <w:t>the</w:t>
      </w:r>
      <w:r>
        <w:rPr>
          <w:spacing w:val="-14"/>
          <w:sz w:val="24"/>
        </w:rPr>
        <w:t> </w:t>
      </w:r>
      <w:r>
        <w:rPr>
          <w:sz w:val="24"/>
        </w:rPr>
        <w:t>context</w:t>
      </w:r>
      <w:r>
        <w:rPr>
          <w:spacing w:val="-12"/>
          <w:sz w:val="24"/>
        </w:rPr>
        <w:t> </w:t>
      </w:r>
      <w:r>
        <w:rPr>
          <w:sz w:val="24"/>
        </w:rPr>
        <w:t>or</w:t>
      </w:r>
      <w:r>
        <w:rPr>
          <w:spacing w:val="-14"/>
          <w:sz w:val="24"/>
        </w:rPr>
        <w:t> </w:t>
      </w:r>
      <w:r>
        <w:rPr>
          <w:sz w:val="24"/>
        </w:rPr>
        <w:t>meaning thereof be deemed to mean and include its successors or permitted</w:t>
      </w:r>
      <w:r>
        <w:rPr>
          <w:spacing w:val="2"/>
          <w:sz w:val="24"/>
        </w:rPr>
        <w:t> </w:t>
      </w:r>
      <w:r>
        <w:rPr>
          <w:sz w:val="24"/>
        </w:rPr>
        <w:t>assigns;</w:t>
      </w:r>
    </w:p>
    <w:p>
      <w:pPr>
        <w:pStyle w:val="BodyText"/>
        <w:spacing w:before="8"/>
        <w:rPr>
          <w:sz w:val="30"/>
        </w:rPr>
      </w:pPr>
    </w:p>
    <w:p>
      <w:pPr>
        <w:pStyle w:val="BodyText"/>
        <w:spacing w:before="1"/>
        <w:ind w:left="3563" w:right="3220"/>
        <w:jc w:val="center"/>
      </w:pPr>
      <w:r>
        <w:rPr/>
        <w:t>And</w:t>
      </w:r>
    </w:p>
    <w:p>
      <w:pPr>
        <w:pStyle w:val="BodyText"/>
        <w:spacing w:before="9"/>
        <w:rPr>
          <w:sz w:val="29"/>
        </w:rPr>
      </w:pPr>
    </w:p>
    <w:p>
      <w:pPr>
        <w:spacing w:line="300" w:lineRule="auto" w:before="0"/>
        <w:ind w:left="1320" w:right="151" w:firstLine="60"/>
        <w:jc w:val="both"/>
        <w:rPr>
          <w:sz w:val="24"/>
        </w:rPr>
      </w:pPr>
      <w:r>
        <w:rPr>
          <w:b/>
          <w:i/>
          <w:sz w:val="24"/>
        </w:rPr>
        <w:t>[Name and registered address of the inter-State transmission licensee] </w:t>
      </w:r>
      <w:r>
        <w:rPr>
          <w:sz w:val="24"/>
        </w:rPr>
        <w:t>(herein after called “</w:t>
      </w:r>
      <w:r>
        <w:rPr>
          <w:b/>
          <w:sz w:val="24"/>
        </w:rPr>
        <w:t>the inter-State transmission licensee</w:t>
      </w:r>
      <w:r>
        <w:rPr>
          <w:sz w:val="24"/>
        </w:rPr>
        <w:t>”) which expression  shall unless repugnant to the context or meaning thereof be deemed to mean and  include its successors or permitted</w:t>
      </w:r>
      <w:r>
        <w:rPr>
          <w:spacing w:val="-1"/>
          <w:sz w:val="24"/>
        </w:rPr>
        <w:t> </w:t>
      </w:r>
      <w:r>
        <w:rPr>
          <w:sz w:val="24"/>
        </w:rPr>
        <w:t>assigns;</w:t>
      </w:r>
    </w:p>
    <w:p>
      <w:pPr>
        <w:pStyle w:val="BodyText"/>
        <w:spacing w:before="11"/>
        <w:rPr>
          <w:sz w:val="35"/>
        </w:rPr>
      </w:pPr>
    </w:p>
    <w:p>
      <w:pPr>
        <w:pStyle w:val="BodyText"/>
        <w:spacing w:line="300" w:lineRule="auto"/>
        <w:ind w:left="1320" w:right="426"/>
      </w:pPr>
      <w:r>
        <w:rPr/>
        <w:t>CTU, Applicant and Inter-state transmission licensee are hereinafter collectively referred to as “Parties” and individually as “Party”.</w:t>
      </w:r>
    </w:p>
    <w:p>
      <w:pPr>
        <w:spacing w:after="0" w:line="300" w:lineRule="auto"/>
        <w:sectPr>
          <w:footerReference w:type="default" r:id="rId5"/>
          <w:type w:val="continuous"/>
          <w:pgSz w:w="11930" w:h="16850"/>
          <w:pgMar w:footer="751" w:top="1600" w:bottom="940" w:left="1200" w:right="1240"/>
          <w:pgNumType w:start="1"/>
        </w:sectPr>
      </w:pPr>
    </w:p>
    <w:p>
      <w:pPr>
        <w:pStyle w:val="BodyText"/>
        <w:rPr>
          <w:sz w:val="20"/>
        </w:rPr>
      </w:pPr>
    </w:p>
    <w:p>
      <w:pPr>
        <w:pStyle w:val="BodyText"/>
        <w:spacing w:before="211"/>
        <w:ind w:left="809"/>
      </w:pPr>
      <w:r>
        <w:rPr/>
        <w:t>WHEREAS:</w:t>
      </w:r>
    </w:p>
    <w:p>
      <w:pPr>
        <w:pStyle w:val="BodyText"/>
        <w:spacing w:before="10"/>
        <w:rPr>
          <w:sz w:val="35"/>
        </w:rPr>
      </w:pPr>
    </w:p>
    <w:p>
      <w:pPr>
        <w:pStyle w:val="ListParagraph"/>
        <w:numPr>
          <w:ilvl w:val="0"/>
          <w:numId w:val="1"/>
        </w:numPr>
        <w:tabs>
          <w:tab w:pos="788" w:val="left" w:leader="none"/>
        </w:tabs>
        <w:spacing w:line="292" w:lineRule="auto" w:before="0" w:after="0"/>
        <w:ind w:left="780" w:right="142" w:hanging="540"/>
        <w:jc w:val="both"/>
        <w:rPr>
          <w:sz w:val="24"/>
        </w:rPr>
      </w:pPr>
      <w:r>
        <w:rPr>
          <w:sz w:val="24"/>
        </w:rPr>
        <w:t>The Applicant has applied to the CTU for connection of the [</w:t>
      </w:r>
      <w:r>
        <w:rPr>
          <w:b/>
          <w:i/>
          <w:sz w:val="24"/>
        </w:rPr>
        <w:t>mention  generating </w:t>
      </w:r>
      <w:r>
        <w:rPr>
          <w:b/>
          <w:i/>
          <w:sz w:val="24"/>
        </w:rPr>
        <w:t>station including a captive generating plant or Bulk consumer as appropriate</w:t>
      </w:r>
      <w:r>
        <w:rPr>
          <w:sz w:val="24"/>
        </w:rPr>
        <w:t>] facility to the Inter-State Transmission System (ISTS) network and its use to transmit electricity to and or from the</w:t>
      </w:r>
      <w:r>
        <w:rPr>
          <w:spacing w:val="-11"/>
          <w:sz w:val="24"/>
        </w:rPr>
        <w:t> </w:t>
      </w:r>
      <w:r>
        <w:rPr>
          <w:sz w:val="24"/>
        </w:rPr>
        <w:t>Facility.</w:t>
      </w:r>
    </w:p>
    <w:p>
      <w:pPr>
        <w:pStyle w:val="BodyText"/>
        <w:spacing w:before="3"/>
        <w:rPr>
          <w:sz w:val="22"/>
        </w:rPr>
      </w:pPr>
    </w:p>
    <w:p>
      <w:pPr>
        <w:pStyle w:val="ListParagraph"/>
        <w:numPr>
          <w:ilvl w:val="0"/>
          <w:numId w:val="1"/>
        </w:numPr>
        <w:tabs>
          <w:tab w:pos="668" w:val="left" w:leader="none"/>
        </w:tabs>
        <w:spacing w:line="292" w:lineRule="auto" w:before="1" w:after="0"/>
        <w:ind w:left="780" w:right="143" w:hanging="540"/>
        <w:jc w:val="both"/>
        <w:rPr>
          <w:sz w:val="24"/>
        </w:rPr>
      </w:pPr>
      <w:r>
        <w:rPr>
          <w:sz w:val="24"/>
        </w:rPr>
        <w:t>The</w:t>
      </w:r>
      <w:r>
        <w:rPr>
          <w:spacing w:val="-9"/>
          <w:sz w:val="24"/>
        </w:rPr>
        <w:t> </w:t>
      </w:r>
      <w:r>
        <w:rPr>
          <w:sz w:val="24"/>
        </w:rPr>
        <w:t>CTU</w:t>
      </w:r>
      <w:r>
        <w:rPr>
          <w:spacing w:val="-7"/>
          <w:sz w:val="24"/>
        </w:rPr>
        <w:t> </w:t>
      </w:r>
      <w:r>
        <w:rPr>
          <w:sz w:val="24"/>
        </w:rPr>
        <w:t>has</w:t>
      </w:r>
      <w:r>
        <w:rPr>
          <w:spacing w:val="-4"/>
          <w:sz w:val="24"/>
        </w:rPr>
        <w:t> </w:t>
      </w:r>
      <w:r>
        <w:rPr>
          <w:sz w:val="24"/>
        </w:rPr>
        <w:t>agreed</w:t>
      </w:r>
      <w:r>
        <w:rPr>
          <w:spacing w:val="-1"/>
          <w:sz w:val="24"/>
        </w:rPr>
        <w:t> </w:t>
      </w:r>
      <w:r>
        <w:rPr>
          <w:sz w:val="24"/>
        </w:rPr>
        <w:t>to</w:t>
      </w:r>
      <w:r>
        <w:rPr>
          <w:spacing w:val="-4"/>
          <w:sz w:val="24"/>
        </w:rPr>
        <w:t> </w:t>
      </w:r>
      <w:r>
        <w:rPr>
          <w:sz w:val="24"/>
        </w:rPr>
        <w:t>the</w:t>
      </w:r>
      <w:r>
        <w:rPr>
          <w:spacing w:val="-4"/>
          <w:sz w:val="24"/>
        </w:rPr>
        <w:t> </w:t>
      </w:r>
      <w:r>
        <w:rPr>
          <w:sz w:val="24"/>
        </w:rPr>
        <w:t>connection</w:t>
      </w:r>
      <w:r>
        <w:rPr>
          <w:spacing w:val="-4"/>
          <w:sz w:val="24"/>
        </w:rPr>
        <w:t> </w:t>
      </w:r>
      <w:r>
        <w:rPr>
          <w:sz w:val="24"/>
        </w:rPr>
        <w:t>of</w:t>
      </w:r>
      <w:r>
        <w:rPr>
          <w:spacing w:val="-8"/>
          <w:sz w:val="24"/>
        </w:rPr>
        <w:t> </w:t>
      </w:r>
      <w:r>
        <w:rPr>
          <w:sz w:val="24"/>
        </w:rPr>
        <w:t>[</w:t>
      </w:r>
      <w:r>
        <w:rPr>
          <w:b/>
          <w:i/>
          <w:sz w:val="24"/>
        </w:rPr>
        <w:t>mention</w:t>
      </w:r>
      <w:r>
        <w:rPr>
          <w:b/>
          <w:i/>
          <w:spacing w:val="-5"/>
          <w:sz w:val="24"/>
        </w:rPr>
        <w:t> </w:t>
      </w:r>
      <w:r>
        <w:rPr>
          <w:b/>
          <w:i/>
          <w:sz w:val="24"/>
        </w:rPr>
        <w:t>generating</w:t>
      </w:r>
      <w:r>
        <w:rPr>
          <w:b/>
          <w:i/>
          <w:spacing w:val="-4"/>
          <w:sz w:val="24"/>
        </w:rPr>
        <w:t> </w:t>
      </w:r>
      <w:r>
        <w:rPr>
          <w:b/>
          <w:i/>
          <w:sz w:val="24"/>
        </w:rPr>
        <w:t>station</w:t>
      </w:r>
      <w:r>
        <w:rPr>
          <w:b/>
          <w:i/>
          <w:spacing w:val="-8"/>
          <w:sz w:val="24"/>
        </w:rPr>
        <w:t> </w:t>
      </w:r>
      <w:r>
        <w:rPr>
          <w:b/>
          <w:i/>
          <w:sz w:val="24"/>
        </w:rPr>
        <w:t>including</w:t>
      </w:r>
      <w:r>
        <w:rPr>
          <w:b/>
          <w:i/>
          <w:spacing w:val="-6"/>
          <w:sz w:val="24"/>
        </w:rPr>
        <w:t> </w:t>
      </w:r>
      <w:r>
        <w:rPr>
          <w:b/>
          <w:i/>
          <w:sz w:val="24"/>
        </w:rPr>
        <w:t>a</w:t>
      </w:r>
      <w:r>
        <w:rPr>
          <w:b/>
          <w:i/>
          <w:spacing w:val="-6"/>
          <w:sz w:val="24"/>
        </w:rPr>
        <w:t> </w:t>
      </w:r>
      <w:r>
        <w:rPr>
          <w:b/>
          <w:i/>
          <w:sz w:val="24"/>
        </w:rPr>
        <w:t>captive </w:t>
      </w:r>
      <w:r>
        <w:rPr>
          <w:b/>
          <w:i/>
          <w:sz w:val="24"/>
        </w:rPr>
        <w:t>generating plant or Bulk consumer as appropriate</w:t>
      </w:r>
      <w:r>
        <w:rPr>
          <w:sz w:val="24"/>
        </w:rPr>
        <w:t>] Facility to transmit electricity as well</w:t>
      </w:r>
      <w:r>
        <w:rPr>
          <w:spacing w:val="6"/>
          <w:sz w:val="24"/>
        </w:rPr>
        <w:t> </w:t>
      </w:r>
      <w:r>
        <w:rPr>
          <w:sz w:val="24"/>
        </w:rPr>
        <w:t>as</w:t>
      </w:r>
      <w:r>
        <w:rPr>
          <w:spacing w:val="4"/>
          <w:sz w:val="24"/>
        </w:rPr>
        <w:t> </w:t>
      </w:r>
      <w:r>
        <w:rPr>
          <w:sz w:val="24"/>
        </w:rPr>
        <w:t>real time</w:t>
      </w:r>
      <w:r>
        <w:rPr>
          <w:spacing w:val="26"/>
          <w:sz w:val="24"/>
        </w:rPr>
        <w:t> </w:t>
      </w:r>
      <w:r>
        <w:rPr>
          <w:sz w:val="24"/>
        </w:rPr>
        <w:t>data</w:t>
      </w:r>
      <w:r>
        <w:rPr>
          <w:spacing w:val="27"/>
          <w:sz w:val="24"/>
        </w:rPr>
        <w:t> </w:t>
      </w:r>
      <w:r>
        <w:rPr>
          <w:sz w:val="24"/>
        </w:rPr>
        <w:t>to</w:t>
      </w:r>
      <w:r>
        <w:rPr>
          <w:spacing w:val="27"/>
          <w:sz w:val="24"/>
        </w:rPr>
        <w:t> </w:t>
      </w:r>
      <w:r>
        <w:rPr>
          <w:sz w:val="24"/>
        </w:rPr>
        <w:t>and</w:t>
      </w:r>
      <w:r>
        <w:rPr>
          <w:spacing w:val="27"/>
          <w:sz w:val="24"/>
        </w:rPr>
        <w:t> </w:t>
      </w:r>
      <w:r>
        <w:rPr>
          <w:sz w:val="24"/>
        </w:rPr>
        <w:t>from</w:t>
      </w:r>
      <w:r>
        <w:rPr>
          <w:spacing w:val="28"/>
          <w:sz w:val="24"/>
        </w:rPr>
        <w:t> </w:t>
      </w:r>
      <w:r>
        <w:rPr>
          <w:sz w:val="24"/>
        </w:rPr>
        <w:t>the</w:t>
      </w:r>
      <w:r>
        <w:rPr>
          <w:spacing w:val="28"/>
          <w:sz w:val="24"/>
        </w:rPr>
        <w:t> </w:t>
      </w:r>
      <w:r>
        <w:rPr>
          <w:sz w:val="24"/>
        </w:rPr>
        <w:t>Facility</w:t>
      </w:r>
      <w:r>
        <w:rPr>
          <w:spacing w:val="23"/>
          <w:sz w:val="24"/>
        </w:rPr>
        <w:t> </w:t>
      </w:r>
      <w:r>
        <w:rPr>
          <w:sz w:val="24"/>
        </w:rPr>
        <w:t>through</w:t>
      </w:r>
      <w:r>
        <w:rPr>
          <w:spacing w:val="27"/>
          <w:sz w:val="24"/>
        </w:rPr>
        <w:t> </w:t>
      </w:r>
      <w:r>
        <w:rPr>
          <w:sz w:val="24"/>
        </w:rPr>
        <w:t>the</w:t>
      </w:r>
      <w:r>
        <w:rPr>
          <w:spacing w:val="1"/>
          <w:sz w:val="24"/>
        </w:rPr>
        <w:t> </w:t>
      </w:r>
      <w:r>
        <w:rPr>
          <w:sz w:val="24"/>
        </w:rPr>
        <w:t>ISTS</w:t>
      </w:r>
      <w:r>
        <w:rPr>
          <w:spacing w:val="-1"/>
          <w:sz w:val="24"/>
        </w:rPr>
        <w:t> </w:t>
      </w:r>
      <w:r>
        <w:rPr>
          <w:sz w:val="24"/>
        </w:rPr>
        <w:t>network.</w:t>
      </w:r>
    </w:p>
    <w:p>
      <w:pPr>
        <w:pStyle w:val="BodyText"/>
        <w:spacing w:before="3"/>
        <w:rPr>
          <w:sz w:val="30"/>
        </w:rPr>
      </w:pPr>
    </w:p>
    <w:p>
      <w:pPr>
        <w:pStyle w:val="ListParagraph"/>
        <w:numPr>
          <w:ilvl w:val="0"/>
          <w:numId w:val="1"/>
        </w:numPr>
        <w:tabs>
          <w:tab w:pos="783" w:val="left" w:leader="none"/>
        </w:tabs>
        <w:spacing w:line="300" w:lineRule="auto" w:before="1" w:after="0"/>
        <w:ind w:left="780" w:right="146" w:hanging="540"/>
        <w:jc w:val="both"/>
        <w:rPr>
          <w:sz w:val="24"/>
        </w:rPr>
      </w:pPr>
      <w:r>
        <w:rPr>
          <w:sz w:val="24"/>
        </w:rPr>
        <w:t>The Parties shall enter into this connection agreement to record the terms and conditions upon which the Parties will carry out their respective Connection Works, in addition to the estimated cost required to be carried out by the Inter-State transmission licensee for works related to the interconnection, in accordance with the Connection Agreement. In the case of a generating plant seeking connection to the inter-state transmission system, a tripartite Connection Agreement would be signed between the CTU, the inter-State transmission licensee and the applicant, since the planning of the inter-State transmission system,</w:t>
      </w:r>
      <w:r>
        <w:rPr>
          <w:spacing w:val="-14"/>
          <w:sz w:val="24"/>
        </w:rPr>
        <w:t> </w:t>
      </w:r>
      <w:r>
        <w:rPr>
          <w:sz w:val="24"/>
        </w:rPr>
        <w:t>insulation</w:t>
      </w:r>
      <w:r>
        <w:rPr>
          <w:spacing w:val="-11"/>
          <w:sz w:val="24"/>
        </w:rPr>
        <w:t> </w:t>
      </w:r>
      <w:r>
        <w:rPr>
          <w:sz w:val="24"/>
        </w:rPr>
        <w:t>coordination,</w:t>
      </w:r>
      <w:r>
        <w:rPr>
          <w:spacing w:val="-14"/>
          <w:sz w:val="24"/>
        </w:rPr>
        <w:t> </w:t>
      </w:r>
      <w:r>
        <w:rPr>
          <w:sz w:val="24"/>
        </w:rPr>
        <w:t>system</w:t>
      </w:r>
      <w:r>
        <w:rPr>
          <w:spacing w:val="-16"/>
          <w:sz w:val="24"/>
        </w:rPr>
        <w:t> </w:t>
      </w:r>
      <w:r>
        <w:rPr>
          <w:sz w:val="24"/>
        </w:rPr>
        <w:t>studies,</w:t>
      </w:r>
      <w:r>
        <w:rPr>
          <w:spacing w:val="-11"/>
          <w:sz w:val="24"/>
        </w:rPr>
        <w:t> </w:t>
      </w:r>
      <w:r>
        <w:rPr>
          <w:sz w:val="24"/>
        </w:rPr>
        <w:t>etc.</w:t>
      </w:r>
      <w:r>
        <w:rPr>
          <w:spacing w:val="-12"/>
          <w:sz w:val="24"/>
        </w:rPr>
        <w:t> </w:t>
      </w:r>
      <w:r>
        <w:rPr>
          <w:sz w:val="24"/>
        </w:rPr>
        <w:t>are</w:t>
      </w:r>
      <w:r>
        <w:rPr>
          <w:spacing w:val="-17"/>
          <w:sz w:val="24"/>
        </w:rPr>
        <w:t> </w:t>
      </w:r>
      <w:r>
        <w:rPr>
          <w:sz w:val="24"/>
        </w:rPr>
        <w:t>the</w:t>
      </w:r>
      <w:r>
        <w:rPr>
          <w:spacing w:val="-15"/>
          <w:sz w:val="24"/>
        </w:rPr>
        <w:t> </w:t>
      </w:r>
      <w:r>
        <w:rPr>
          <w:sz w:val="24"/>
        </w:rPr>
        <w:t>responsibility</w:t>
      </w:r>
      <w:r>
        <w:rPr>
          <w:spacing w:val="-13"/>
          <w:sz w:val="24"/>
        </w:rPr>
        <w:t> </w:t>
      </w:r>
      <w:r>
        <w:rPr>
          <w:sz w:val="24"/>
        </w:rPr>
        <w:t>of</w:t>
      </w:r>
      <w:r>
        <w:rPr>
          <w:spacing w:val="-14"/>
          <w:sz w:val="24"/>
        </w:rPr>
        <w:t> </w:t>
      </w:r>
      <w:r>
        <w:rPr>
          <w:sz w:val="24"/>
        </w:rPr>
        <w:t>the</w:t>
      </w:r>
      <w:r>
        <w:rPr>
          <w:spacing w:val="-15"/>
          <w:sz w:val="24"/>
        </w:rPr>
        <w:t> </w:t>
      </w:r>
      <w:r>
        <w:rPr>
          <w:sz w:val="24"/>
        </w:rPr>
        <w:t>CTU.</w:t>
      </w:r>
      <w:r>
        <w:rPr>
          <w:spacing w:val="-10"/>
          <w:sz w:val="24"/>
        </w:rPr>
        <w:t> </w:t>
      </w:r>
      <w:r>
        <w:rPr>
          <w:sz w:val="24"/>
        </w:rPr>
        <w:t>The responsibilities of the three parties would be defined accordingly in the tripartite Agreement.</w:t>
      </w:r>
    </w:p>
    <w:p>
      <w:pPr>
        <w:pStyle w:val="BodyText"/>
        <w:rPr>
          <w:sz w:val="30"/>
        </w:rPr>
      </w:pPr>
    </w:p>
    <w:p>
      <w:pPr>
        <w:pStyle w:val="ListParagraph"/>
        <w:numPr>
          <w:ilvl w:val="0"/>
          <w:numId w:val="1"/>
        </w:numPr>
        <w:tabs>
          <w:tab w:pos="783" w:val="left" w:leader="none"/>
        </w:tabs>
        <w:spacing w:line="300" w:lineRule="auto" w:before="0" w:after="0"/>
        <w:ind w:left="780" w:right="153" w:hanging="540"/>
        <w:jc w:val="both"/>
        <w:rPr>
          <w:sz w:val="24"/>
        </w:rPr>
      </w:pPr>
      <w:r>
        <w:rPr>
          <w:sz w:val="24"/>
        </w:rPr>
        <w:t>The parties shall separately take up modalities for implementation of the works on mutually agreed terms and conditions. The scope of works, time schedule for completion of works, including the timelines for the various milestones to be reached for completion of</w:t>
      </w:r>
      <w:r>
        <w:rPr>
          <w:spacing w:val="-13"/>
          <w:sz w:val="24"/>
        </w:rPr>
        <w:t> </w:t>
      </w:r>
      <w:r>
        <w:rPr>
          <w:sz w:val="24"/>
        </w:rPr>
        <w:t>works</w:t>
      </w:r>
      <w:r>
        <w:rPr>
          <w:spacing w:val="-4"/>
          <w:sz w:val="24"/>
        </w:rPr>
        <w:t> </w:t>
      </w:r>
      <w:r>
        <w:rPr>
          <w:sz w:val="24"/>
        </w:rPr>
        <w:t>(PERT</w:t>
      </w:r>
      <w:r>
        <w:rPr>
          <w:spacing w:val="-8"/>
          <w:sz w:val="24"/>
        </w:rPr>
        <w:t> </w:t>
      </w:r>
      <w:r>
        <w:rPr>
          <w:sz w:val="24"/>
        </w:rPr>
        <w:t>chart),</w:t>
      </w:r>
      <w:r>
        <w:rPr>
          <w:spacing w:val="-9"/>
          <w:sz w:val="24"/>
        </w:rPr>
        <w:t> </w:t>
      </w:r>
      <w:r>
        <w:rPr>
          <w:sz w:val="24"/>
        </w:rPr>
        <w:t>shall</w:t>
      </w:r>
      <w:r>
        <w:rPr>
          <w:spacing w:val="-9"/>
          <w:sz w:val="24"/>
        </w:rPr>
        <w:t> </w:t>
      </w:r>
      <w:r>
        <w:rPr>
          <w:sz w:val="24"/>
        </w:rPr>
        <w:t>form</w:t>
      </w:r>
      <w:r>
        <w:rPr>
          <w:spacing w:val="-8"/>
          <w:sz w:val="24"/>
        </w:rPr>
        <w:t> </w:t>
      </w:r>
      <w:r>
        <w:rPr>
          <w:sz w:val="24"/>
        </w:rPr>
        <w:t>an</w:t>
      </w:r>
      <w:r>
        <w:rPr>
          <w:spacing w:val="-9"/>
          <w:sz w:val="24"/>
        </w:rPr>
        <w:t> </w:t>
      </w:r>
      <w:r>
        <w:rPr>
          <w:sz w:val="24"/>
        </w:rPr>
        <w:t>appendix</w:t>
      </w:r>
      <w:r>
        <w:rPr>
          <w:spacing w:val="-6"/>
          <w:sz w:val="24"/>
        </w:rPr>
        <w:t> </w:t>
      </w:r>
      <w:r>
        <w:rPr>
          <w:sz w:val="24"/>
        </w:rPr>
        <w:t>to</w:t>
      </w:r>
      <w:r>
        <w:rPr>
          <w:spacing w:val="-9"/>
          <w:sz w:val="24"/>
        </w:rPr>
        <w:t> </w:t>
      </w:r>
      <w:r>
        <w:rPr>
          <w:sz w:val="24"/>
        </w:rPr>
        <w:t>this</w:t>
      </w:r>
      <w:r>
        <w:rPr>
          <w:spacing w:val="-9"/>
          <w:sz w:val="24"/>
        </w:rPr>
        <w:t> </w:t>
      </w:r>
      <w:r>
        <w:rPr>
          <w:sz w:val="24"/>
        </w:rPr>
        <w:t>agreement,</w:t>
      </w:r>
      <w:r>
        <w:rPr>
          <w:spacing w:val="-7"/>
          <w:sz w:val="24"/>
        </w:rPr>
        <w:t> </w:t>
      </w:r>
      <w:r>
        <w:rPr>
          <w:sz w:val="24"/>
        </w:rPr>
        <w:t>and</w:t>
      </w:r>
      <w:r>
        <w:rPr>
          <w:spacing w:val="-9"/>
          <w:sz w:val="24"/>
        </w:rPr>
        <w:t> </w:t>
      </w:r>
      <w:r>
        <w:rPr>
          <w:sz w:val="24"/>
        </w:rPr>
        <w:t>shall form</w:t>
      </w:r>
      <w:r>
        <w:rPr>
          <w:spacing w:val="-2"/>
          <w:sz w:val="24"/>
        </w:rPr>
        <w:t> </w:t>
      </w:r>
      <w:r>
        <w:rPr>
          <w:sz w:val="24"/>
        </w:rPr>
        <w:t>the</w:t>
      </w:r>
      <w:r>
        <w:rPr>
          <w:spacing w:val="-2"/>
          <w:sz w:val="24"/>
        </w:rPr>
        <w:t> </w:t>
      </w:r>
      <w:r>
        <w:rPr>
          <w:sz w:val="24"/>
        </w:rPr>
        <w:t>basis for</w:t>
      </w:r>
      <w:r>
        <w:rPr>
          <w:spacing w:val="4"/>
          <w:sz w:val="24"/>
        </w:rPr>
        <w:t> </w:t>
      </w:r>
      <w:r>
        <w:rPr>
          <w:sz w:val="24"/>
        </w:rPr>
        <w:t>evaluating</w:t>
      </w:r>
      <w:r>
        <w:rPr>
          <w:spacing w:val="8"/>
          <w:sz w:val="24"/>
        </w:rPr>
        <w:t> </w:t>
      </w:r>
      <w:r>
        <w:rPr>
          <w:sz w:val="24"/>
        </w:rPr>
        <w:t>if</w:t>
      </w:r>
      <w:r>
        <w:rPr>
          <w:spacing w:val="8"/>
          <w:sz w:val="24"/>
        </w:rPr>
        <w:t> </w:t>
      </w:r>
      <w:r>
        <w:rPr>
          <w:sz w:val="24"/>
        </w:rPr>
        <w:t>the</w:t>
      </w:r>
      <w:r>
        <w:rPr>
          <w:spacing w:val="9"/>
          <w:sz w:val="24"/>
        </w:rPr>
        <w:t> </w:t>
      </w:r>
      <w:r>
        <w:rPr>
          <w:sz w:val="24"/>
        </w:rPr>
        <w:t>works</w:t>
      </w:r>
      <w:r>
        <w:rPr>
          <w:spacing w:val="9"/>
          <w:sz w:val="24"/>
        </w:rPr>
        <w:t> </w:t>
      </w:r>
      <w:r>
        <w:rPr>
          <w:sz w:val="24"/>
        </w:rPr>
        <w:t>by</w:t>
      </w:r>
      <w:r>
        <w:rPr>
          <w:spacing w:val="6"/>
          <w:sz w:val="24"/>
        </w:rPr>
        <w:t> </w:t>
      </w:r>
      <w:r>
        <w:rPr>
          <w:sz w:val="24"/>
        </w:rPr>
        <w:t>the</w:t>
      </w:r>
      <w:r>
        <w:rPr>
          <w:spacing w:val="9"/>
          <w:sz w:val="24"/>
        </w:rPr>
        <w:t> </w:t>
      </w:r>
      <w:r>
        <w:rPr>
          <w:sz w:val="24"/>
        </w:rPr>
        <w:t>parties</w:t>
      </w:r>
      <w:r>
        <w:rPr>
          <w:spacing w:val="10"/>
          <w:sz w:val="24"/>
        </w:rPr>
        <w:t> </w:t>
      </w:r>
      <w:r>
        <w:rPr>
          <w:sz w:val="24"/>
        </w:rPr>
        <w:t>is</w:t>
      </w:r>
      <w:r>
        <w:rPr>
          <w:spacing w:val="9"/>
          <w:sz w:val="24"/>
        </w:rPr>
        <w:t> </w:t>
      </w:r>
      <w:r>
        <w:rPr>
          <w:sz w:val="24"/>
        </w:rPr>
        <w:t>being</w:t>
      </w:r>
      <w:r>
        <w:rPr>
          <w:spacing w:val="5"/>
          <w:sz w:val="24"/>
        </w:rPr>
        <w:t> </w:t>
      </w:r>
      <w:r>
        <w:rPr>
          <w:sz w:val="24"/>
        </w:rPr>
        <w:t>executed</w:t>
      </w:r>
      <w:r>
        <w:rPr>
          <w:spacing w:val="9"/>
          <w:sz w:val="24"/>
        </w:rPr>
        <w:t> </w:t>
      </w:r>
      <w:r>
        <w:rPr>
          <w:sz w:val="24"/>
        </w:rPr>
        <w:t>in</w:t>
      </w:r>
      <w:r>
        <w:rPr>
          <w:spacing w:val="9"/>
          <w:sz w:val="24"/>
        </w:rPr>
        <w:t> </w:t>
      </w:r>
      <w:r>
        <w:rPr>
          <w:sz w:val="24"/>
        </w:rPr>
        <w:t>time.</w:t>
      </w:r>
    </w:p>
    <w:p>
      <w:pPr>
        <w:pStyle w:val="BodyText"/>
        <w:spacing w:before="7"/>
        <w:rPr>
          <w:sz w:val="22"/>
        </w:rPr>
      </w:pPr>
    </w:p>
    <w:p>
      <w:pPr>
        <w:pStyle w:val="BodyText"/>
        <w:spacing w:line="278" w:lineRule="auto"/>
        <w:ind w:left="780" w:right="154"/>
        <w:jc w:val="both"/>
      </w:pPr>
      <w:r>
        <w:rPr/>
        <w:t>Penalties for non-completion of works in time by one party resulting in financial losses to the other party may be appropriately priced, as per mutual agreement, for indemnification</w:t>
      </w:r>
      <w:r>
        <w:rPr>
          <w:spacing w:val="22"/>
        </w:rPr>
        <w:t> </w:t>
      </w:r>
      <w:r>
        <w:rPr/>
        <w:t>of</w:t>
      </w:r>
      <w:r>
        <w:rPr>
          <w:spacing w:val="19"/>
        </w:rPr>
        <w:t> </w:t>
      </w:r>
      <w:r>
        <w:rPr/>
        <w:t>each</w:t>
      </w:r>
      <w:r>
        <w:rPr>
          <w:spacing w:val="30"/>
        </w:rPr>
        <w:t> </w:t>
      </w:r>
      <w:r>
        <w:rPr/>
        <w:t>other</w:t>
      </w:r>
      <w:r>
        <w:rPr>
          <w:spacing w:val="19"/>
        </w:rPr>
        <w:t> </w:t>
      </w:r>
      <w:r>
        <w:rPr/>
        <w:t>against</w:t>
      </w:r>
      <w:r>
        <w:rPr>
          <w:spacing w:val="24"/>
        </w:rPr>
        <w:t> </w:t>
      </w:r>
      <w:r>
        <w:rPr/>
        <w:t>losses</w:t>
      </w:r>
      <w:r>
        <w:rPr>
          <w:spacing w:val="23"/>
        </w:rPr>
        <w:t> </w:t>
      </w:r>
      <w:r>
        <w:rPr/>
        <w:t>incurred</w:t>
      </w:r>
      <w:r>
        <w:rPr>
          <w:spacing w:val="23"/>
        </w:rPr>
        <w:t> </w:t>
      </w:r>
      <w:r>
        <w:rPr/>
        <w:t>in</w:t>
      </w:r>
      <w:r>
        <w:rPr>
          <w:spacing w:val="23"/>
        </w:rPr>
        <w:t> </w:t>
      </w:r>
      <w:r>
        <w:rPr/>
        <w:t>this</w:t>
      </w:r>
      <w:r>
        <w:rPr>
          <w:spacing w:val="23"/>
        </w:rPr>
        <w:t> </w:t>
      </w:r>
      <w:r>
        <w:rPr/>
        <w:t>regard.</w:t>
      </w:r>
      <w:r>
        <w:rPr>
          <w:spacing w:val="55"/>
        </w:rPr>
        <w:t> </w:t>
      </w:r>
      <w:r>
        <w:rPr/>
        <w:t>Similarly,</w:t>
      </w:r>
      <w:r>
        <w:rPr>
          <w:spacing w:val="58"/>
        </w:rPr>
        <w:t> </w:t>
      </w:r>
      <w:r>
        <w:rPr/>
        <w:t>for</w:t>
      </w:r>
      <w:r>
        <w:rPr>
          <w:spacing w:val="50"/>
        </w:rPr>
        <w:t> </w:t>
      </w:r>
      <w:r>
        <w:rPr/>
        <w:t>the</w:t>
      </w:r>
    </w:p>
    <w:p>
      <w:pPr>
        <w:pStyle w:val="BodyText"/>
        <w:spacing w:line="300" w:lineRule="auto" w:before="26"/>
        <w:ind w:left="780" w:right="152"/>
        <w:jc w:val="both"/>
      </w:pPr>
      <w:r>
        <w:rPr/>
        <w:t>regular O&amp;M of the connection equipment owned by the Applicants  and  located  in  the Inter-State transmission licensee’s premises/switchyard, the parties shall separately take up the O&amp;M agreement on mutually agreed terms and</w:t>
      </w:r>
      <w:r>
        <w:rPr>
          <w:spacing w:val="-8"/>
        </w:rPr>
        <w:t> </w:t>
      </w:r>
      <w:r>
        <w:rPr/>
        <w:t>conditions.</w:t>
      </w:r>
    </w:p>
    <w:p>
      <w:pPr>
        <w:pStyle w:val="BodyText"/>
        <w:rPr>
          <w:sz w:val="30"/>
        </w:rPr>
      </w:pPr>
    </w:p>
    <w:p>
      <w:pPr>
        <w:pStyle w:val="ListParagraph"/>
        <w:numPr>
          <w:ilvl w:val="0"/>
          <w:numId w:val="1"/>
        </w:numPr>
        <w:tabs>
          <w:tab w:pos="793" w:val="left" w:leader="none"/>
        </w:tabs>
        <w:spacing w:line="300" w:lineRule="auto" w:before="0" w:after="0"/>
        <w:ind w:left="780" w:right="201" w:hanging="540"/>
        <w:jc w:val="both"/>
        <w:rPr>
          <w:sz w:val="24"/>
        </w:rPr>
      </w:pPr>
      <w:r>
        <w:rPr>
          <w:sz w:val="24"/>
        </w:rPr>
        <w:t>Further, a signed copy of the agreement along with all the Annexures, and amendments when ever made, shall be submitted to</w:t>
      </w:r>
      <w:r>
        <w:rPr>
          <w:spacing w:val="1"/>
          <w:sz w:val="24"/>
        </w:rPr>
        <w:t> </w:t>
      </w:r>
      <w:r>
        <w:rPr>
          <w:sz w:val="24"/>
        </w:rPr>
        <w:t>RLDC/NLDC.</w:t>
      </w:r>
    </w:p>
    <w:p>
      <w:pPr>
        <w:pStyle w:val="BodyText"/>
        <w:rPr>
          <w:sz w:val="26"/>
        </w:rPr>
      </w:pPr>
    </w:p>
    <w:p>
      <w:pPr>
        <w:pStyle w:val="BodyText"/>
        <w:spacing w:before="193"/>
        <w:ind w:left="240"/>
      </w:pPr>
      <w:r>
        <w:rPr/>
        <w:t>IT IS HEREBY AGREED as follows:</w:t>
      </w:r>
    </w:p>
    <w:p>
      <w:pPr>
        <w:spacing w:after="0"/>
        <w:sectPr>
          <w:pgSz w:w="11930" w:h="16850"/>
          <w:pgMar w:header="0" w:footer="751" w:top="1600" w:bottom="940" w:left="1200" w:right="1240"/>
        </w:sectPr>
      </w:pPr>
    </w:p>
    <w:p>
      <w:pPr>
        <w:pStyle w:val="BodyText"/>
        <w:rPr>
          <w:sz w:val="20"/>
        </w:rPr>
      </w:pPr>
    </w:p>
    <w:p>
      <w:pPr>
        <w:pStyle w:val="Heading1"/>
        <w:numPr>
          <w:ilvl w:val="0"/>
          <w:numId w:val="2"/>
        </w:numPr>
        <w:tabs>
          <w:tab w:pos="672" w:val="left" w:leader="none"/>
          <w:tab w:pos="673" w:val="left" w:leader="none"/>
        </w:tabs>
        <w:spacing w:line="240" w:lineRule="auto" w:before="232" w:after="0"/>
        <w:ind w:left="672" w:right="0" w:hanging="433"/>
        <w:jc w:val="left"/>
      </w:pPr>
      <w:r>
        <w:rPr/>
        <w:t>General Conditions for Connectivity</w:t>
      </w:r>
    </w:p>
    <w:p>
      <w:pPr>
        <w:pStyle w:val="BodyText"/>
        <w:spacing w:before="6"/>
        <w:rPr>
          <w:b/>
          <w:sz w:val="35"/>
        </w:rPr>
      </w:pPr>
    </w:p>
    <w:p>
      <w:pPr>
        <w:pStyle w:val="ListParagraph"/>
        <w:numPr>
          <w:ilvl w:val="1"/>
          <w:numId w:val="2"/>
        </w:numPr>
        <w:tabs>
          <w:tab w:pos="780" w:val="left" w:leader="none"/>
          <w:tab w:pos="781" w:val="left" w:leader="none"/>
        </w:tabs>
        <w:spacing w:line="240" w:lineRule="auto" w:before="0" w:after="0"/>
        <w:ind w:left="780" w:right="0" w:hanging="541"/>
        <w:jc w:val="left"/>
        <w:rPr>
          <w:sz w:val="24"/>
        </w:rPr>
      </w:pPr>
      <w:r>
        <w:rPr>
          <w:sz w:val="24"/>
        </w:rPr>
        <w:t>The Parties agree to the following General</w:t>
      </w:r>
      <w:r>
        <w:rPr>
          <w:spacing w:val="-4"/>
          <w:sz w:val="24"/>
        </w:rPr>
        <w:t> </w:t>
      </w:r>
      <w:r>
        <w:rPr>
          <w:sz w:val="24"/>
        </w:rPr>
        <w:t>Conditions:</w:t>
      </w:r>
    </w:p>
    <w:p>
      <w:pPr>
        <w:pStyle w:val="BodyText"/>
        <w:spacing w:before="7"/>
        <w:rPr>
          <w:sz w:val="34"/>
        </w:rPr>
      </w:pPr>
    </w:p>
    <w:p>
      <w:pPr>
        <w:pStyle w:val="ListParagraph"/>
        <w:numPr>
          <w:ilvl w:val="2"/>
          <w:numId w:val="2"/>
        </w:numPr>
        <w:tabs>
          <w:tab w:pos="1338" w:val="left" w:leader="none"/>
        </w:tabs>
        <w:spacing w:line="300" w:lineRule="auto" w:before="0" w:after="0"/>
        <w:ind w:left="1320" w:right="154" w:hanging="514"/>
        <w:jc w:val="both"/>
        <w:rPr>
          <w:sz w:val="24"/>
        </w:rPr>
      </w:pPr>
      <w:r>
        <w:rPr>
          <w:sz w:val="24"/>
        </w:rPr>
        <w:t>The parties shall abide by the Central Electricity Regulatory Commission (Grant  of Connectivity, Long-term Access and Medium-term Open Access in inter-state Transmission</w:t>
      </w:r>
      <w:r>
        <w:rPr>
          <w:spacing w:val="-10"/>
          <w:sz w:val="24"/>
        </w:rPr>
        <w:t> </w:t>
      </w:r>
      <w:r>
        <w:rPr>
          <w:sz w:val="24"/>
        </w:rPr>
        <w:t>and</w:t>
      </w:r>
      <w:r>
        <w:rPr>
          <w:spacing w:val="-10"/>
          <w:sz w:val="24"/>
        </w:rPr>
        <w:t> </w:t>
      </w:r>
      <w:r>
        <w:rPr>
          <w:sz w:val="24"/>
        </w:rPr>
        <w:t>related</w:t>
      </w:r>
      <w:r>
        <w:rPr>
          <w:spacing w:val="-7"/>
          <w:sz w:val="24"/>
        </w:rPr>
        <w:t> </w:t>
      </w:r>
      <w:r>
        <w:rPr>
          <w:sz w:val="24"/>
        </w:rPr>
        <w:t>matters)</w:t>
      </w:r>
      <w:r>
        <w:rPr>
          <w:spacing w:val="-10"/>
          <w:sz w:val="24"/>
        </w:rPr>
        <w:t> </w:t>
      </w:r>
      <w:r>
        <w:rPr>
          <w:sz w:val="24"/>
        </w:rPr>
        <w:t>Regulations,</w:t>
      </w:r>
      <w:r>
        <w:rPr>
          <w:spacing w:val="-6"/>
          <w:sz w:val="24"/>
        </w:rPr>
        <w:t> </w:t>
      </w:r>
      <w:r>
        <w:rPr>
          <w:sz w:val="24"/>
        </w:rPr>
        <w:t>2009</w:t>
      </w:r>
      <w:r>
        <w:rPr>
          <w:spacing w:val="-9"/>
          <w:sz w:val="24"/>
        </w:rPr>
        <w:t> </w:t>
      </w:r>
      <w:r>
        <w:rPr>
          <w:sz w:val="24"/>
        </w:rPr>
        <w:t>and</w:t>
      </w:r>
      <w:r>
        <w:rPr>
          <w:spacing w:val="-10"/>
          <w:sz w:val="24"/>
        </w:rPr>
        <w:t> </w:t>
      </w:r>
      <w:r>
        <w:rPr>
          <w:sz w:val="24"/>
        </w:rPr>
        <w:t>its</w:t>
      </w:r>
      <w:r>
        <w:rPr>
          <w:spacing w:val="-9"/>
          <w:sz w:val="24"/>
        </w:rPr>
        <w:t> </w:t>
      </w:r>
      <w:r>
        <w:rPr>
          <w:sz w:val="24"/>
        </w:rPr>
        <w:t>amendments</w:t>
      </w:r>
      <w:r>
        <w:rPr>
          <w:spacing w:val="-9"/>
          <w:sz w:val="24"/>
        </w:rPr>
        <w:t> </w:t>
      </w:r>
      <w:r>
        <w:rPr>
          <w:sz w:val="24"/>
        </w:rPr>
        <w:t>thereof,</w:t>
      </w:r>
      <w:r>
        <w:rPr>
          <w:spacing w:val="-9"/>
          <w:sz w:val="24"/>
        </w:rPr>
        <w:t> </w:t>
      </w:r>
      <w:r>
        <w:rPr>
          <w:sz w:val="24"/>
        </w:rPr>
        <w:t>in respect of procedure of grant of connectivity and other</w:t>
      </w:r>
      <w:r>
        <w:rPr>
          <w:spacing w:val="-6"/>
          <w:sz w:val="24"/>
        </w:rPr>
        <w:t> </w:t>
      </w:r>
      <w:r>
        <w:rPr>
          <w:sz w:val="24"/>
        </w:rPr>
        <w:t>matters.</w:t>
      </w:r>
    </w:p>
    <w:p>
      <w:pPr>
        <w:pStyle w:val="BodyText"/>
        <w:spacing w:before="2"/>
        <w:rPr>
          <w:sz w:val="30"/>
        </w:rPr>
      </w:pPr>
    </w:p>
    <w:p>
      <w:pPr>
        <w:pStyle w:val="ListParagraph"/>
        <w:numPr>
          <w:ilvl w:val="2"/>
          <w:numId w:val="2"/>
        </w:numPr>
        <w:tabs>
          <w:tab w:pos="1321" w:val="left" w:leader="none"/>
        </w:tabs>
        <w:spacing w:line="300" w:lineRule="auto" w:before="0" w:after="0"/>
        <w:ind w:left="1320" w:right="151" w:hanging="514"/>
        <w:jc w:val="both"/>
        <w:rPr>
          <w:sz w:val="24"/>
        </w:rPr>
      </w:pPr>
      <w:r>
        <w:rPr>
          <w:sz w:val="24"/>
        </w:rPr>
        <w:t>The applicant or inter-State transmission licensee, as the case may be, shall be responsible for planning, design, construction, safe and reliable operation &amp; maintenance of its own equipment in accordance with the Central Electricity Authority (Technical Standards for Connectivity to the Grid) Regulations, 2007, Central Electricity Authority (Technical Standards for Construction of electrical plants and electric lines) Regulations, Central Electricity Authority (Grid Standards) Regulations, Indian Electricity Grid Code (IEGC), 2010 and its amendments</w:t>
      </w:r>
      <w:r>
        <w:rPr>
          <w:spacing w:val="-13"/>
          <w:sz w:val="24"/>
        </w:rPr>
        <w:t> </w:t>
      </w:r>
      <w:r>
        <w:rPr>
          <w:sz w:val="24"/>
        </w:rPr>
        <w:t>thereof</w:t>
      </w:r>
      <w:r>
        <w:rPr>
          <w:spacing w:val="-13"/>
          <w:sz w:val="24"/>
        </w:rPr>
        <w:t> </w:t>
      </w:r>
      <w:r>
        <w:rPr>
          <w:sz w:val="24"/>
        </w:rPr>
        <w:t>as</w:t>
      </w:r>
      <w:r>
        <w:rPr>
          <w:spacing w:val="-13"/>
          <w:sz w:val="24"/>
        </w:rPr>
        <w:t> </w:t>
      </w:r>
      <w:r>
        <w:rPr>
          <w:sz w:val="24"/>
        </w:rPr>
        <w:t>well</w:t>
      </w:r>
      <w:r>
        <w:rPr>
          <w:spacing w:val="-12"/>
          <w:sz w:val="24"/>
        </w:rPr>
        <w:t> </w:t>
      </w:r>
      <w:r>
        <w:rPr>
          <w:sz w:val="24"/>
        </w:rPr>
        <w:t>as</w:t>
      </w:r>
      <w:r>
        <w:rPr>
          <w:spacing w:val="23"/>
          <w:sz w:val="24"/>
        </w:rPr>
        <w:t> </w:t>
      </w:r>
      <w:r>
        <w:rPr>
          <w:sz w:val="24"/>
        </w:rPr>
        <w:t>other</w:t>
      </w:r>
      <w:r>
        <w:rPr>
          <w:spacing w:val="-13"/>
          <w:sz w:val="24"/>
        </w:rPr>
        <w:t> </w:t>
      </w:r>
      <w:r>
        <w:rPr>
          <w:sz w:val="24"/>
        </w:rPr>
        <w:t>statutory</w:t>
      </w:r>
      <w:r>
        <w:rPr>
          <w:spacing w:val="-17"/>
          <w:sz w:val="24"/>
        </w:rPr>
        <w:t> </w:t>
      </w:r>
      <w:r>
        <w:rPr>
          <w:sz w:val="24"/>
        </w:rPr>
        <w:t>provisions.</w:t>
      </w:r>
      <w:r>
        <w:rPr>
          <w:spacing w:val="-13"/>
          <w:sz w:val="24"/>
        </w:rPr>
        <w:t> </w:t>
      </w:r>
      <w:r>
        <w:rPr>
          <w:sz w:val="24"/>
        </w:rPr>
        <w:t>In</w:t>
      </w:r>
      <w:r>
        <w:rPr>
          <w:spacing w:val="-12"/>
          <w:sz w:val="24"/>
        </w:rPr>
        <w:t> </w:t>
      </w:r>
      <w:r>
        <w:rPr>
          <w:sz w:val="24"/>
        </w:rPr>
        <w:t>case</w:t>
      </w:r>
      <w:r>
        <w:rPr>
          <w:spacing w:val="-14"/>
          <w:sz w:val="24"/>
        </w:rPr>
        <w:t> </w:t>
      </w:r>
      <w:r>
        <w:rPr>
          <w:sz w:val="24"/>
        </w:rPr>
        <w:t>of</w:t>
      </w:r>
      <w:r>
        <w:rPr>
          <w:spacing w:val="-13"/>
          <w:sz w:val="24"/>
        </w:rPr>
        <w:t> </w:t>
      </w:r>
      <w:r>
        <w:rPr>
          <w:sz w:val="24"/>
        </w:rPr>
        <w:t>bay</w:t>
      </w:r>
      <w:r>
        <w:rPr>
          <w:spacing w:val="-10"/>
          <w:sz w:val="24"/>
        </w:rPr>
        <w:t> </w:t>
      </w:r>
      <w:r>
        <w:rPr>
          <w:sz w:val="24"/>
        </w:rPr>
        <w:t>extensions, the applicant shall consider the existing station(s) as DCP at respective ends (as the case may</w:t>
      </w:r>
      <w:r>
        <w:rPr>
          <w:spacing w:val="-2"/>
          <w:sz w:val="24"/>
        </w:rPr>
        <w:t> </w:t>
      </w:r>
      <w:r>
        <w:rPr>
          <w:sz w:val="24"/>
        </w:rPr>
        <w:t>be).</w:t>
      </w:r>
    </w:p>
    <w:p>
      <w:pPr>
        <w:pStyle w:val="BodyText"/>
        <w:spacing w:before="6"/>
        <w:rPr>
          <w:sz w:val="32"/>
        </w:rPr>
      </w:pPr>
    </w:p>
    <w:p>
      <w:pPr>
        <w:pStyle w:val="ListParagraph"/>
        <w:numPr>
          <w:ilvl w:val="2"/>
          <w:numId w:val="2"/>
        </w:numPr>
        <w:tabs>
          <w:tab w:pos="1258" w:val="left" w:leader="none"/>
        </w:tabs>
        <w:spacing w:line="300" w:lineRule="auto" w:before="0" w:after="0"/>
        <w:ind w:left="1272" w:right="159" w:hanging="540"/>
        <w:jc w:val="both"/>
        <w:rPr>
          <w:sz w:val="24"/>
        </w:rPr>
      </w:pPr>
      <w:r>
        <w:rPr>
          <w:sz w:val="24"/>
        </w:rPr>
        <w:t>The Applicant shall provide necessary facilities for voice &amp; data communication</w:t>
      </w:r>
      <w:r>
        <w:rPr>
          <w:spacing w:val="-41"/>
          <w:sz w:val="24"/>
        </w:rPr>
        <w:t> </w:t>
      </w:r>
      <w:r>
        <w:rPr>
          <w:sz w:val="24"/>
        </w:rPr>
        <w:t>for transfer of real time operational data from their station to Data Collection Point (DCP) of Inter-State transmission licensee as per IEGC. Inter-State transmission licensee shall provide access to Applicant’s data transfer through communication network on mutually agreed terms. Additional communication system from DCP to the concerned RLDC shall be the responsibility of Inter-State transmission licensee; however its cost shall be borne by the Applicant. The responsibility of data transfer shall be that of</w:t>
      </w:r>
      <w:r>
        <w:rPr>
          <w:spacing w:val="24"/>
          <w:sz w:val="24"/>
        </w:rPr>
        <w:t> </w:t>
      </w:r>
      <w:r>
        <w:rPr>
          <w:sz w:val="24"/>
        </w:rPr>
        <w:t>the Applicant.</w:t>
      </w:r>
    </w:p>
    <w:p>
      <w:pPr>
        <w:pStyle w:val="BodyText"/>
        <w:spacing w:before="3"/>
        <w:rPr>
          <w:sz w:val="25"/>
        </w:rPr>
      </w:pPr>
    </w:p>
    <w:p>
      <w:pPr>
        <w:pStyle w:val="ListParagraph"/>
        <w:numPr>
          <w:ilvl w:val="1"/>
          <w:numId w:val="2"/>
        </w:numPr>
        <w:tabs>
          <w:tab w:pos="781" w:val="left" w:leader="none"/>
        </w:tabs>
        <w:spacing w:line="300" w:lineRule="auto" w:before="1" w:after="0"/>
        <w:ind w:left="780" w:right="152" w:hanging="540"/>
        <w:jc w:val="both"/>
        <w:rPr>
          <w:sz w:val="24"/>
        </w:rPr>
      </w:pPr>
      <w:r>
        <w:rPr>
          <w:sz w:val="24"/>
        </w:rPr>
        <w:t>The following documents and their schedules which have been initialed by the parties and annexed herewith shall be deemed to form an integral part of this Agreement in the order of precedence listed</w:t>
      </w:r>
      <w:r>
        <w:rPr>
          <w:spacing w:val="-4"/>
          <w:sz w:val="24"/>
        </w:rPr>
        <w:t> </w:t>
      </w:r>
      <w:r>
        <w:rPr>
          <w:sz w:val="24"/>
        </w:rPr>
        <w:t>below:-</w:t>
      </w:r>
    </w:p>
    <w:p>
      <w:pPr>
        <w:pStyle w:val="BodyText"/>
        <w:spacing w:before="11"/>
        <w:rPr>
          <w:sz w:val="29"/>
        </w:rPr>
      </w:pPr>
    </w:p>
    <w:p>
      <w:pPr>
        <w:pStyle w:val="ListParagraph"/>
        <w:numPr>
          <w:ilvl w:val="2"/>
          <w:numId w:val="2"/>
        </w:numPr>
        <w:tabs>
          <w:tab w:pos="1501" w:val="left" w:leader="none"/>
        </w:tabs>
        <w:spacing w:line="240" w:lineRule="auto" w:before="0" w:after="0"/>
        <w:ind w:left="1500" w:right="0" w:hanging="361"/>
        <w:jc w:val="left"/>
        <w:rPr>
          <w:sz w:val="24"/>
        </w:rPr>
      </w:pPr>
      <w:r>
        <w:rPr>
          <w:sz w:val="24"/>
        </w:rPr>
        <w:t>Application for seeking connection to the inter-State transmission</w:t>
      </w:r>
      <w:r>
        <w:rPr>
          <w:spacing w:val="-6"/>
          <w:sz w:val="24"/>
        </w:rPr>
        <w:t> </w:t>
      </w:r>
      <w:r>
        <w:rPr>
          <w:sz w:val="24"/>
        </w:rPr>
        <w:t>system</w:t>
      </w:r>
    </w:p>
    <w:p>
      <w:pPr>
        <w:pStyle w:val="ListParagraph"/>
        <w:numPr>
          <w:ilvl w:val="2"/>
          <w:numId w:val="2"/>
        </w:numPr>
        <w:tabs>
          <w:tab w:pos="1501" w:val="left" w:leader="none"/>
        </w:tabs>
        <w:spacing w:line="240" w:lineRule="auto" w:before="70" w:after="0"/>
        <w:ind w:left="1500" w:right="0" w:hanging="361"/>
        <w:jc w:val="left"/>
        <w:rPr>
          <w:sz w:val="24"/>
        </w:rPr>
      </w:pPr>
      <w:r>
        <w:rPr>
          <w:sz w:val="24"/>
        </w:rPr>
        <w:t>Intimation for grant of</w:t>
      </w:r>
      <w:r>
        <w:rPr>
          <w:spacing w:val="-2"/>
          <w:sz w:val="24"/>
        </w:rPr>
        <w:t> </w:t>
      </w:r>
      <w:r>
        <w:rPr>
          <w:sz w:val="24"/>
        </w:rPr>
        <w:t>Connectivity</w:t>
      </w:r>
    </w:p>
    <w:p>
      <w:pPr>
        <w:pStyle w:val="ListParagraph"/>
        <w:numPr>
          <w:ilvl w:val="2"/>
          <w:numId w:val="2"/>
        </w:numPr>
        <w:tabs>
          <w:tab w:pos="1501" w:val="left" w:leader="none"/>
        </w:tabs>
        <w:spacing w:line="240" w:lineRule="auto" w:before="69" w:after="0"/>
        <w:ind w:left="1500" w:right="0" w:hanging="361"/>
        <w:jc w:val="left"/>
        <w:rPr>
          <w:sz w:val="24"/>
        </w:rPr>
      </w:pPr>
      <w:r>
        <w:rPr>
          <w:sz w:val="24"/>
        </w:rPr>
        <w:t>Additional information for signing Connection</w:t>
      </w:r>
      <w:r>
        <w:rPr>
          <w:spacing w:val="-7"/>
          <w:sz w:val="24"/>
        </w:rPr>
        <w:t> </w:t>
      </w:r>
      <w:r>
        <w:rPr>
          <w:sz w:val="24"/>
        </w:rPr>
        <w:t>Agreement</w:t>
      </w:r>
    </w:p>
    <w:p>
      <w:pPr>
        <w:pStyle w:val="ListParagraph"/>
        <w:numPr>
          <w:ilvl w:val="2"/>
          <w:numId w:val="2"/>
        </w:numPr>
        <w:tabs>
          <w:tab w:pos="1501" w:val="left" w:leader="none"/>
          <w:tab w:pos="8433" w:val="left" w:leader="dot"/>
        </w:tabs>
        <w:spacing w:line="240" w:lineRule="auto" w:before="70" w:after="0"/>
        <w:ind w:left="1500" w:right="0" w:hanging="361"/>
        <w:jc w:val="left"/>
        <w:rPr>
          <w:sz w:val="24"/>
        </w:rPr>
      </w:pPr>
      <w:r>
        <w:rPr>
          <w:sz w:val="24"/>
        </w:rPr>
        <w:t>Connection Offer Letter; (letter</w:t>
      </w:r>
      <w:r>
        <w:rPr>
          <w:spacing w:val="-9"/>
          <w:sz w:val="24"/>
        </w:rPr>
        <w:t> </w:t>
      </w:r>
      <w:r>
        <w:rPr>
          <w:sz w:val="24"/>
        </w:rPr>
        <w:t>Ref.</w:t>
      </w:r>
      <w:r>
        <w:rPr>
          <w:spacing w:val="-3"/>
          <w:sz w:val="24"/>
        </w:rPr>
        <w:t> </w:t>
      </w:r>
      <w:r>
        <w:rPr>
          <w:sz w:val="24"/>
        </w:rPr>
        <w:t>No…………………dated</w:t>
        <w:tab/>
        <w:t>)</w:t>
      </w:r>
    </w:p>
    <w:p>
      <w:pPr>
        <w:pStyle w:val="ListParagraph"/>
        <w:numPr>
          <w:ilvl w:val="2"/>
          <w:numId w:val="2"/>
        </w:numPr>
        <w:tabs>
          <w:tab w:pos="1501" w:val="left" w:leader="none"/>
        </w:tabs>
        <w:spacing w:line="240" w:lineRule="auto" w:before="67" w:after="0"/>
        <w:ind w:left="1500" w:right="0" w:hanging="361"/>
        <w:jc w:val="left"/>
        <w:rPr>
          <w:sz w:val="24"/>
        </w:rPr>
      </w:pPr>
      <w:r>
        <w:rPr>
          <w:sz w:val="24"/>
        </w:rPr>
        <w:t>This</w:t>
      </w:r>
      <w:r>
        <w:rPr>
          <w:spacing w:val="-1"/>
          <w:sz w:val="24"/>
        </w:rPr>
        <w:t> </w:t>
      </w:r>
      <w:r>
        <w:rPr>
          <w:sz w:val="24"/>
        </w:rPr>
        <w:t>Agreement;</w:t>
      </w:r>
    </w:p>
    <w:p>
      <w:pPr>
        <w:spacing w:after="0" w:line="240" w:lineRule="auto"/>
        <w:jc w:val="left"/>
        <w:rPr>
          <w:sz w:val="24"/>
        </w:rPr>
        <w:sectPr>
          <w:pgSz w:w="11930" w:h="16850"/>
          <w:pgMar w:header="0" w:footer="751" w:top="1600" w:bottom="940" w:left="1200" w:right="1240"/>
        </w:sectPr>
      </w:pPr>
    </w:p>
    <w:p>
      <w:pPr>
        <w:pStyle w:val="BodyText"/>
        <w:spacing w:before="2"/>
        <w:rPr>
          <w:sz w:val="13"/>
        </w:rPr>
      </w:pPr>
    </w:p>
    <w:p>
      <w:pPr>
        <w:pStyle w:val="Heading1"/>
        <w:numPr>
          <w:ilvl w:val="1"/>
          <w:numId w:val="2"/>
        </w:numPr>
        <w:tabs>
          <w:tab w:pos="780" w:val="left" w:leader="none"/>
          <w:tab w:pos="781" w:val="left" w:leader="none"/>
        </w:tabs>
        <w:spacing w:line="240" w:lineRule="auto" w:before="90" w:after="0"/>
        <w:ind w:left="780" w:right="0" w:hanging="541"/>
        <w:jc w:val="left"/>
      </w:pPr>
      <w:r>
        <w:rPr/>
        <w:t>Availability of Statutory/Regulatory</w:t>
      </w:r>
      <w:r>
        <w:rPr>
          <w:spacing w:val="-3"/>
        </w:rPr>
        <w:t> </w:t>
      </w:r>
      <w:r>
        <w:rPr/>
        <w:t>Approval</w:t>
      </w:r>
    </w:p>
    <w:p>
      <w:pPr>
        <w:pStyle w:val="BodyText"/>
        <w:spacing w:before="8"/>
        <w:rPr>
          <w:b/>
          <w:sz w:val="35"/>
        </w:rPr>
      </w:pPr>
    </w:p>
    <w:p>
      <w:pPr>
        <w:pStyle w:val="BodyText"/>
        <w:spacing w:line="300" w:lineRule="auto"/>
        <w:ind w:left="780" w:right="149"/>
        <w:jc w:val="both"/>
      </w:pPr>
      <w:r>
        <w:rPr/>
        <w:t>Notwithstanding anything in the Agreement to the contrary, the Applicant or Inter-State transmission licensee shall be responsible for obtaining the statutory clearances/approval including transmission license (if required) for carrying out the works requiring connection to the ISTS. Accordingly, the provisions of the Agreement dealing with the carrying out of the works, either by the Applicant or Inter-State transmission licensee (unless</w:t>
      </w:r>
      <w:r>
        <w:rPr>
          <w:spacing w:val="-7"/>
        </w:rPr>
        <w:t> </w:t>
      </w:r>
      <w:r>
        <w:rPr/>
        <w:t>otherwise</w:t>
      </w:r>
      <w:r>
        <w:rPr>
          <w:spacing w:val="-4"/>
        </w:rPr>
        <w:t> </w:t>
      </w:r>
      <w:r>
        <w:rPr/>
        <w:t>agreed</w:t>
      </w:r>
      <w:r>
        <w:rPr>
          <w:spacing w:val="3"/>
        </w:rPr>
        <w:t> </w:t>
      </w:r>
      <w:r>
        <w:rPr/>
        <w:t>mutually)</w:t>
      </w:r>
      <w:r>
        <w:rPr>
          <w:spacing w:val="-5"/>
        </w:rPr>
        <w:t> </w:t>
      </w:r>
      <w:r>
        <w:rPr/>
        <w:t>in</w:t>
      </w:r>
      <w:r>
        <w:rPr>
          <w:spacing w:val="-6"/>
        </w:rPr>
        <w:t> </w:t>
      </w:r>
      <w:r>
        <w:rPr/>
        <w:t>all</w:t>
      </w:r>
      <w:r>
        <w:rPr>
          <w:spacing w:val="-4"/>
        </w:rPr>
        <w:t> </w:t>
      </w:r>
      <w:r>
        <w:rPr/>
        <w:t>respects</w:t>
      </w:r>
      <w:r>
        <w:rPr>
          <w:spacing w:val="-6"/>
        </w:rPr>
        <w:t> </w:t>
      </w:r>
      <w:r>
        <w:rPr/>
        <w:t>would</w:t>
      </w:r>
      <w:r>
        <w:rPr>
          <w:spacing w:val="-4"/>
        </w:rPr>
        <w:t> </w:t>
      </w:r>
      <w:r>
        <w:rPr/>
        <w:t>be</w:t>
      </w:r>
      <w:r>
        <w:rPr>
          <w:spacing w:val="-5"/>
        </w:rPr>
        <w:t> </w:t>
      </w:r>
      <w:r>
        <w:rPr/>
        <w:t>conditional</w:t>
      </w:r>
      <w:r>
        <w:rPr>
          <w:spacing w:val="-4"/>
        </w:rPr>
        <w:t> </w:t>
      </w:r>
      <w:r>
        <w:rPr/>
        <w:t>and</w:t>
      </w:r>
      <w:r>
        <w:rPr>
          <w:spacing w:val="-2"/>
        </w:rPr>
        <w:t> </w:t>
      </w:r>
      <w:r>
        <w:rPr/>
        <w:t>subject</w:t>
      </w:r>
      <w:r>
        <w:rPr>
          <w:spacing w:val="-3"/>
        </w:rPr>
        <w:t> </w:t>
      </w:r>
      <w:r>
        <w:rPr/>
        <w:t>to</w:t>
      </w:r>
      <w:r>
        <w:rPr>
          <w:spacing w:val="-4"/>
        </w:rPr>
        <w:t> </w:t>
      </w:r>
      <w:r>
        <w:rPr/>
        <w:t>the parties being satisfied that the necessary approvals/clearances are available with the Applicant or Inter-state transmission licensee, as the case may</w:t>
      </w:r>
      <w:r>
        <w:rPr>
          <w:spacing w:val="-2"/>
        </w:rPr>
        <w:t> </w:t>
      </w:r>
      <w:r>
        <w:rPr/>
        <w:t>be.</w:t>
      </w:r>
    </w:p>
    <w:p>
      <w:pPr>
        <w:pStyle w:val="BodyText"/>
        <w:spacing w:before="9"/>
        <w:rPr>
          <w:sz w:val="35"/>
        </w:rPr>
      </w:pPr>
    </w:p>
    <w:p>
      <w:pPr>
        <w:pStyle w:val="Heading1"/>
        <w:numPr>
          <w:ilvl w:val="0"/>
          <w:numId w:val="3"/>
        </w:numPr>
        <w:tabs>
          <w:tab w:pos="780" w:val="left" w:leader="none"/>
          <w:tab w:pos="781" w:val="left" w:leader="none"/>
        </w:tabs>
        <w:spacing w:line="240" w:lineRule="auto" w:before="0" w:after="0"/>
        <w:ind w:left="780" w:right="0" w:hanging="541"/>
        <w:jc w:val="left"/>
      </w:pPr>
      <w:r>
        <w:rPr/>
        <w:t>Agreement to Pay Charges and</w:t>
      </w:r>
      <w:r>
        <w:rPr>
          <w:spacing w:val="2"/>
        </w:rPr>
        <w:t> </w:t>
      </w:r>
      <w:r>
        <w:rPr/>
        <w:t>Costs</w:t>
      </w:r>
    </w:p>
    <w:p>
      <w:pPr>
        <w:pStyle w:val="BodyText"/>
        <w:spacing w:before="10"/>
        <w:rPr>
          <w:b/>
          <w:sz w:val="35"/>
        </w:rPr>
      </w:pPr>
    </w:p>
    <w:p>
      <w:pPr>
        <w:pStyle w:val="ListParagraph"/>
        <w:numPr>
          <w:ilvl w:val="1"/>
          <w:numId w:val="3"/>
        </w:numPr>
        <w:tabs>
          <w:tab w:pos="780" w:val="left" w:leader="none"/>
          <w:tab w:pos="781" w:val="left" w:leader="none"/>
        </w:tabs>
        <w:spacing w:line="240" w:lineRule="auto" w:before="0" w:after="0"/>
        <w:ind w:left="780" w:right="0" w:hanging="541"/>
        <w:jc w:val="left"/>
        <w:rPr>
          <w:b/>
          <w:sz w:val="24"/>
        </w:rPr>
      </w:pPr>
      <w:r>
        <w:rPr>
          <w:b/>
          <w:sz w:val="24"/>
        </w:rPr>
        <w:t>Agreement to Monthly Transmission</w:t>
      </w:r>
      <w:r>
        <w:rPr>
          <w:b/>
          <w:spacing w:val="2"/>
          <w:sz w:val="24"/>
        </w:rPr>
        <w:t> </w:t>
      </w:r>
      <w:r>
        <w:rPr>
          <w:b/>
          <w:sz w:val="24"/>
        </w:rPr>
        <w:t>Tariff</w:t>
      </w:r>
    </w:p>
    <w:p>
      <w:pPr>
        <w:pStyle w:val="BodyText"/>
        <w:spacing w:before="8"/>
        <w:rPr>
          <w:b/>
          <w:sz w:val="35"/>
        </w:rPr>
      </w:pPr>
    </w:p>
    <w:p>
      <w:pPr>
        <w:pStyle w:val="BodyText"/>
        <w:spacing w:line="297" w:lineRule="auto"/>
        <w:ind w:left="780" w:right="151"/>
        <w:jc w:val="both"/>
      </w:pPr>
      <w:r>
        <w:rPr/>
        <w:t>The applicant declares that it shall pay the Monthly Transmission Tariff including ULDC/NLDC charges, for use of Inter-State Transmission System, as and when Long term access, Medium-term open access or short-term open access is availed by the applicant, in accordance with the relevant regulations of CERC in this regard.</w:t>
      </w:r>
    </w:p>
    <w:p>
      <w:pPr>
        <w:pStyle w:val="BodyText"/>
        <w:spacing w:before="5"/>
        <w:rPr>
          <w:sz w:val="30"/>
        </w:rPr>
      </w:pPr>
    </w:p>
    <w:p>
      <w:pPr>
        <w:pStyle w:val="Heading1"/>
        <w:numPr>
          <w:ilvl w:val="1"/>
          <w:numId w:val="3"/>
        </w:numPr>
        <w:tabs>
          <w:tab w:pos="780" w:val="left" w:leader="none"/>
          <w:tab w:pos="781" w:val="left" w:leader="none"/>
        </w:tabs>
        <w:spacing w:line="240" w:lineRule="auto" w:before="0" w:after="0"/>
        <w:ind w:left="780" w:right="0" w:hanging="541"/>
        <w:jc w:val="left"/>
      </w:pPr>
      <w:r>
        <w:rPr/>
        <w:t>Agreement to additional</w:t>
      </w:r>
      <w:r>
        <w:rPr>
          <w:spacing w:val="-2"/>
        </w:rPr>
        <w:t> </w:t>
      </w:r>
      <w:r>
        <w:rPr/>
        <w:t>costs</w:t>
      </w:r>
    </w:p>
    <w:p>
      <w:pPr>
        <w:pStyle w:val="BodyText"/>
        <w:spacing w:before="6"/>
        <w:rPr>
          <w:b/>
          <w:sz w:val="35"/>
        </w:rPr>
      </w:pPr>
    </w:p>
    <w:p>
      <w:pPr>
        <w:pStyle w:val="BodyText"/>
        <w:spacing w:line="300" w:lineRule="auto"/>
        <w:ind w:left="780" w:right="147"/>
        <w:jc w:val="both"/>
      </w:pPr>
      <w:r>
        <w:rPr/>
        <w:t>The applicant declares that it shall pay the cost towards modification/alterations to the infrastructure of Inter-state transmission licensee for accommodating the proposed connection as specified in the letter of CTU furnishing connection details.</w:t>
      </w:r>
    </w:p>
    <w:p>
      <w:pPr>
        <w:pStyle w:val="BodyText"/>
        <w:spacing w:before="3"/>
        <w:rPr>
          <w:sz w:val="36"/>
        </w:rPr>
      </w:pPr>
    </w:p>
    <w:p>
      <w:pPr>
        <w:pStyle w:val="Heading1"/>
        <w:numPr>
          <w:ilvl w:val="1"/>
          <w:numId w:val="3"/>
        </w:numPr>
        <w:tabs>
          <w:tab w:pos="780" w:val="left" w:leader="none"/>
          <w:tab w:pos="781" w:val="left" w:leader="none"/>
        </w:tabs>
        <w:spacing w:line="240" w:lineRule="auto" w:before="0" w:after="0"/>
        <w:ind w:left="780" w:right="0" w:hanging="541"/>
        <w:jc w:val="left"/>
      </w:pPr>
      <w:r>
        <w:rPr/>
        <w:t>Agreement to pay for</w:t>
      </w:r>
      <w:r>
        <w:rPr>
          <w:spacing w:val="-3"/>
        </w:rPr>
        <w:t> </w:t>
      </w:r>
      <w:r>
        <w:rPr/>
        <w:t>damages</w:t>
      </w:r>
    </w:p>
    <w:p>
      <w:pPr>
        <w:pStyle w:val="BodyText"/>
        <w:spacing w:before="8"/>
        <w:rPr>
          <w:b/>
          <w:sz w:val="35"/>
        </w:rPr>
      </w:pPr>
    </w:p>
    <w:p>
      <w:pPr>
        <w:pStyle w:val="BodyText"/>
        <w:spacing w:line="300" w:lineRule="auto"/>
        <w:ind w:left="780" w:right="152"/>
        <w:jc w:val="both"/>
      </w:pPr>
      <w:r>
        <w:rPr/>
        <w:t>The</w:t>
      </w:r>
      <w:r>
        <w:rPr>
          <w:spacing w:val="-13"/>
        </w:rPr>
        <w:t> </w:t>
      </w:r>
      <w:r>
        <w:rPr/>
        <w:t>applicant</w:t>
      </w:r>
      <w:r>
        <w:rPr>
          <w:spacing w:val="-11"/>
        </w:rPr>
        <w:t> </w:t>
      </w:r>
      <w:r>
        <w:rPr/>
        <w:t>declares</w:t>
      </w:r>
      <w:r>
        <w:rPr>
          <w:spacing w:val="-12"/>
        </w:rPr>
        <w:t> </w:t>
      </w:r>
      <w:r>
        <w:rPr/>
        <w:t>that</w:t>
      </w:r>
      <w:r>
        <w:rPr>
          <w:spacing w:val="-11"/>
        </w:rPr>
        <w:t> </w:t>
      </w:r>
      <w:r>
        <w:rPr/>
        <w:t>it</w:t>
      </w:r>
      <w:r>
        <w:rPr>
          <w:spacing w:val="-12"/>
        </w:rPr>
        <w:t> </w:t>
      </w:r>
      <w:r>
        <w:rPr/>
        <w:t>shall</w:t>
      </w:r>
      <w:r>
        <w:rPr>
          <w:spacing w:val="-10"/>
        </w:rPr>
        <w:t> </w:t>
      </w:r>
      <w:r>
        <w:rPr/>
        <w:t>pay/</w:t>
      </w:r>
      <w:r>
        <w:rPr>
          <w:spacing w:val="-10"/>
        </w:rPr>
        <w:t> </w:t>
      </w:r>
      <w:r>
        <w:rPr/>
        <w:t>make</w:t>
      </w:r>
      <w:r>
        <w:rPr>
          <w:spacing w:val="-13"/>
        </w:rPr>
        <w:t> </w:t>
      </w:r>
      <w:r>
        <w:rPr/>
        <w:t>good</w:t>
      </w:r>
      <w:r>
        <w:rPr>
          <w:spacing w:val="-9"/>
        </w:rPr>
        <w:t> </w:t>
      </w:r>
      <w:r>
        <w:rPr/>
        <w:t>damages,</w:t>
      </w:r>
      <w:r>
        <w:rPr>
          <w:spacing w:val="-12"/>
        </w:rPr>
        <w:t> </w:t>
      </w:r>
      <w:r>
        <w:rPr/>
        <w:t>if</w:t>
      </w:r>
      <w:r>
        <w:rPr>
          <w:spacing w:val="-11"/>
        </w:rPr>
        <w:t> </w:t>
      </w:r>
      <w:r>
        <w:rPr/>
        <w:t>any,</w:t>
      </w:r>
      <w:r>
        <w:rPr>
          <w:spacing w:val="-12"/>
        </w:rPr>
        <w:t> </w:t>
      </w:r>
      <w:r>
        <w:rPr/>
        <w:t>caused</w:t>
      </w:r>
      <w:r>
        <w:rPr>
          <w:spacing w:val="-9"/>
        </w:rPr>
        <w:t> </w:t>
      </w:r>
      <w:r>
        <w:rPr/>
        <w:t>to</w:t>
      </w:r>
      <w:r>
        <w:rPr>
          <w:spacing w:val="-13"/>
        </w:rPr>
        <w:t> </w:t>
      </w:r>
      <w:r>
        <w:rPr/>
        <w:t>the</w:t>
      </w:r>
      <w:r>
        <w:rPr>
          <w:spacing w:val="-15"/>
        </w:rPr>
        <w:t> </w:t>
      </w:r>
      <w:r>
        <w:rPr/>
        <w:t>property of the Inter-state transmission licensee which has been notified by the Inter-state transmission licensee, within reasonable time of its occurrence, during the course of control, operation and maintenance of the</w:t>
      </w:r>
      <w:r>
        <w:rPr>
          <w:spacing w:val="6"/>
        </w:rPr>
        <w:t> </w:t>
      </w:r>
      <w:r>
        <w:rPr/>
        <w:t>equipment.</w:t>
      </w:r>
    </w:p>
    <w:p>
      <w:pPr>
        <w:pStyle w:val="Heading1"/>
        <w:numPr>
          <w:ilvl w:val="1"/>
          <w:numId w:val="3"/>
        </w:numPr>
        <w:tabs>
          <w:tab w:pos="780" w:val="left" w:leader="none"/>
          <w:tab w:pos="781" w:val="left" w:leader="none"/>
        </w:tabs>
        <w:spacing w:line="240" w:lineRule="auto" w:before="197" w:after="0"/>
        <w:ind w:left="780" w:right="0" w:hanging="541"/>
        <w:jc w:val="left"/>
      </w:pPr>
      <w:r>
        <w:rPr/>
        <w:t>Agreement to pay Charges for construction of</w:t>
      </w:r>
      <w:r>
        <w:rPr>
          <w:spacing w:val="1"/>
        </w:rPr>
        <w:t> </w:t>
      </w:r>
      <w:r>
        <w:rPr/>
        <w:t>Bays:</w:t>
      </w:r>
    </w:p>
    <w:p>
      <w:pPr>
        <w:pStyle w:val="BodyText"/>
        <w:spacing w:before="6"/>
        <w:rPr>
          <w:b/>
          <w:sz w:val="35"/>
        </w:rPr>
      </w:pPr>
    </w:p>
    <w:p>
      <w:pPr>
        <w:pStyle w:val="BodyText"/>
        <w:spacing w:line="300" w:lineRule="auto"/>
        <w:ind w:left="780" w:right="150"/>
        <w:jc w:val="both"/>
      </w:pPr>
      <w:r>
        <w:rPr/>
        <w:t>The Applicant will execute an agreement with Inter-State transmission licensee for the erection of equipment of Applicant in the substation premises of the Inter-State transmission licensee for construction of bays, if required. For this purpose the Applicant shall pay charges to the Inter-State transmission licensee on mutually agreed terms.</w:t>
      </w:r>
    </w:p>
    <w:p>
      <w:pPr>
        <w:spacing w:after="0" w:line="300" w:lineRule="auto"/>
        <w:jc w:val="both"/>
        <w:sectPr>
          <w:pgSz w:w="11930" w:h="16850"/>
          <w:pgMar w:header="0" w:footer="751" w:top="1600" w:bottom="940" w:left="1200" w:right="1240"/>
        </w:sectPr>
      </w:pPr>
    </w:p>
    <w:p>
      <w:pPr>
        <w:pStyle w:val="BodyText"/>
        <w:spacing w:before="2"/>
        <w:rPr>
          <w:sz w:val="13"/>
        </w:rPr>
      </w:pPr>
    </w:p>
    <w:p>
      <w:pPr>
        <w:pStyle w:val="Heading1"/>
        <w:numPr>
          <w:ilvl w:val="1"/>
          <w:numId w:val="3"/>
        </w:numPr>
        <w:tabs>
          <w:tab w:pos="780" w:val="left" w:leader="none"/>
          <w:tab w:pos="781" w:val="left" w:leader="none"/>
        </w:tabs>
        <w:spacing w:line="240" w:lineRule="auto" w:before="90" w:after="0"/>
        <w:ind w:left="780" w:right="0" w:hanging="541"/>
        <w:jc w:val="left"/>
      </w:pPr>
      <w:r>
        <w:rPr/>
        <w:t>Agreement to pay O&amp;M</w:t>
      </w:r>
      <w:r>
        <w:rPr>
          <w:spacing w:val="-3"/>
        </w:rPr>
        <w:t> </w:t>
      </w:r>
      <w:r>
        <w:rPr/>
        <w:t>Charges:</w:t>
      </w:r>
    </w:p>
    <w:p>
      <w:pPr>
        <w:pStyle w:val="BodyText"/>
        <w:spacing w:before="8"/>
        <w:rPr>
          <w:b/>
          <w:sz w:val="35"/>
        </w:rPr>
      </w:pPr>
    </w:p>
    <w:p>
      <w:pPr>
        <w:pStyle w:val="BodyText"/>
        <w:spacing w:line="300" w:lineRule="auto"/>
        <w:ind w:left="780" w:right="151"/>
        <w:jc w:val="both"/>
      </w:pPr>
      <w:r>
        <w:rPr/>
        <w:t>The Applicant shall pay O&amp;M charges to the Inter-State transmission licensee on mutually agreed terms for the bay equipment of Applicant being operated &amp; maintained by the Inter-State transmission licensee in their substation. These O&amp;M charges will be governed from time to time as per mutually agreed terms.</w:t>
      </w:r>
    </w:p>
    <w:p>
      <w:pPr>
        <w:pStyle w:val="BodyText"/>
        <w:spacing w:before="5"/>
        <w:rPr>
          <w:sz w:val="29"/>
        </w:rPr>
      </w:pPr>
    </w:p>
    <w:p>
      <w:pPr>
        <w:pStyle w:val="Heading1"/>
        <w:numPr>
          <w:ilvl w:val="0"/>
          <w:numId w:val="4"/>
        </w:numPr>
        <w:tabs>
          <w:tab w:pos="780" w:val="left" w:leader="none"/>
          <w:tab w:pos="781" w:val="left" w:leader="none"/>
        </w:tabs>
        <w:spacing w:line="240" w:lineRule="auto" w:before="0" w:after="0"/>
        <w:ind w:left="780" w:right="0" w:hanging="541"/>
        <w:jc w:val="left"/>
      </w:pPr>
      <w:r>
        <w:rPr/>
        <w:t>Conditions Precedent to the implementation of the Charging</w:t>
      </w:r>
      <w:r>
        <w:rPr>
          <w:spacing w:val="-8"/>
        </w:rPr>
        <w:t> </w:t>
      </w:r>
      <w:r>
        <w:rPr/>
        <w:t>Instructions</w:t>
      </w:r>
    </w:p>
    <w:p>
      <w:pPr>
        <w:pStyle w:val="BodyText"/>
        <w:rPr>
          <w:b/>
          <w:sz w:val="26"/>
        </w:rPr>
      </w:pPr>
    </w:p>
    <w:p>
      <w:pPr>
        <w:pStyle w:val="BodyText"/>
        <w:spacing w:line="297" w:lineRule="auto" w:before="187"/>
        <w:ind w:left="780" w:right="152"/>
        <w:jc w:val="both"/>
      </w:pPr>
      <w:r>
        <w:rPr/>
        <w:t>The Applicant shall have to get appropriate “Charging Instructions” prior to actually</w:t>
      </w:r>
      <w:r>
        <w:rPr>
          <w:spacing w:val="-36"/>
        </w:rPr>
        <w:t> </w:t>
      </w:r>
      <w:r>
        <w:rPr/>
        <w:t>first charging of the equipment through the grid. The charging instruction shall be issued</w:t>
      </w:r>
      <w:r>
        <w:rPr>
          <w:spacing w:val="-34"/>
        </w:rPr>
        <w:t> </w:t>
      </w:r>
      <w:r>
        <w:rPr/>
        <w:t>only on confirmation from the Applicant and Inter State Transmission Licensee</w:t>
      </w:r>
      <w:r>
        <w:rPr>
          <w:spacing w:val="1"/>
        </w:rPr>
        <w:t> </w:t>
      </w:r>
      <w:r>
        <w:rPr/>
        <w:t>that:</w:t>
      </w:r>
    </w:p>
    <w:p>
      <w:pPr>
        <w:pStyle w:val="BodyText"/>
        <w:spacing w:before="3"/>
        <w:rPr>
          <w:sz w:val="30"/>
        </w:rPr>
      </w:pPr>
    </w:p>
    <w:p>
      <w:pPr>
        <w:pStyle w:val="ListParagraph"/>
        <w:numPr>
          <w:ilvl w:val="1"/>
          <w:numId w:val="4"/>
        </w:numPr>
        <w:tabs>
          <w:tab w:pos="1141" w:val="left" w:leader="none"/>
        </w:tabs>
        <w:spacing w:line="240" w:lineRule="auto" w:before="0" w:after="0"/>
        <w:ind w:left="1140" w:right="0" w:hanging="361"/>
        <w:jc w:val="both"/>
        <w:rPr>
          <w:sz w:val="24"/>
        </w:rPr>
      </w:pPr>
      <w:r>
        <w:rPr>
          <w:sz w:val="24"/>
        </w:rPr>
        <w:t>The Connection Works have been</w:t>
      </w:r>
      <w:r>
        <w:rPr>
          <w:spacing w:val="-4"/>
          <w:sz w:val="24"/>
        </w:rPr>
        <w:t> </w:t>
      </w:r>
      <w:r>
        <w:rPr>
          <w:sz w:val="24"/>
        </w:rPr>
        <w:t>completed;</w:t>
      </w:r>
    </w:p>
    <w:p>
      <w:pPr>
        <w:pStyle w:val="BodyText"/>
      </w:pPr>
    </w:p>
    <w:p>
      <w:pPr>
        <w:pStyle w:val="ListParagraph"/>
        <w:numPr>
          <w:ilvl w:val="1"/>
          <w:numId w:val="4"/>
        </w:numPr>
        <w:tabs>
          <w:tab w:pos="1141" w:val="left" w:leader="none"/>
        </w:tabs>
        <w:spacing w:line="240" w:lineRule="auto" w:before="0" w:after="0"/>
        <w:ind w:left="1140" w:right="0" w:hanging="361"/>
        <w:jc w:val="both"/>
        <w:rPr>
          <w:sz w:val="24"/>
        </w:rPr>
      </w:pPr>
      <w:r>
        <w:rPr>
          <w:sz w:val="24"/>
        </w:rPr>
        <w:t>The Applicant has complied with its all obligations as set out in the Offer</w:t>
      </w:r>
      <w:r>
        <w:rPr>
          <w:spacing w:val="-11"/>
          <w:sz w:val="24"/>
        </w:rPr>
        <w:t> </w:t>
      </w:r>
      <w:r>
        <w:rPr>
          <w:sz w:val="24"/>
        </w:rPr>
        <w:t>Letter;</w:t>
      </w:r>
    </w:p>
    <w:p>
      <w:pPr>
        <w:pStyle w:val="ListParagraph"/>
        <w:numPr>
          <w:ilvl w:val="1"/>
          <w:numId w:val="4"/>
        </w:numPr>
        <w:tabs>
          <w:tab w:pos="1179" w:val="left" w:leader="none"/>
        </w:tabs>
        <w:spacing w:line="360" w:lineRule="auto" w:before="199" w:after="0"/>
        <w:ind w:left="1181" w:right="110" w:hanging="401"/>
        <w:jc w:val="both"/>
        <w:rPr>
          <w:sz w:val="24"/>
        </w:rPr>
      </w:pPr>
      <w:r>
        <w:rPr>
          <w:sz w:val="24"/>
        </w:rPr>
        <w:t>The Applicant has demonstrated the voice &amp; data communication facilities to concerned</w:t>
      </w:r>
      <w:r>
        <w:rPr>
          <w:spacing w:val="-1"/>
          <w:sz w:val="24"/>
        </w:rPr>
        <w:t> </w:t>
      </w:r>
      <w:r>
        <w:rPr>
          <w:sz w:val="24"/>
        </w:rPr>
        <w:t>RLDC;</w:t>
      </w:r>
    </w:p>
    <w:p>
      <w:pPr>
        <w:pStyle w:val="ListParagraph"/>
        <w:numPr>
          <w:ilvl w:val="1"/>
          <w:numId w:val="4"/>
        </w:numPr>
        <w:tabs>
          <w:tab w:pos="1112" w:val="left" w:leader="none"/>
        </w:tabs>
        <w:spacing w:line="360" w:lineRule="auto" w:before="1" w:after="0"/>
        <w:ind w:left="1140" w:right="160" w:hanging="360"/>
        <w:jc w:val="both"/>
        <w:rPr>
          <w:sz w:val="24"/>
        </w:rPr>
      </w:pPr>
      <w:r>
        <w:rPr>
          <w:sz w:val="24"/>
        </w:rPr>
        <w:t>The</w:t>
      </w:r>
      <w:r>
        <w:rPr>
          <w:spacing w:val="-12"/>
          <w:sz w:val="24"/>
        </w:rPr>
        <w:t> </w:t>
      </w:r>
      <w:r>
        <w:rPr>
          <w:sz w:val="24"/>
        </w:rPr>
        <w:t>applicant</w:t>
      </w:r>
      <w:r>
        <w:rPr>
          <w:spacing w:val="-9"/>
          <w:sz w:val="24"/>
        </w:rPr>
        <w:t> </w:t>
      </w:r>
      <w:r>
        <w:rPr>
          <w:sz w:val="24"/>
        </w:rPr>
        <w:t>and</w:t>
      </w:r>
      <w:r>
        <w:rPr>
          <w:spacing w:val="-10"/>
          <w:sz w:val="24"/>
        </w:rPr>
        <w:t> </w:t>
      </w:r>
      <w:r>
        <w:rPr>
          <w:sz w:val="24"/>
        </w:rPr>
        <w:t>Inter-State</w:t>
      </w:r>
      <w:r>
        <w:rPr>
          <w:spacing w:val="-11"/>
          <w:sz w:val="24"/>
        </w:rPr>
        <w:t> </w:t>
      </w:r>
      <w:r>
        <w:rPr>
          <w:sz w:val="24"/>
        </w:rPr>
        <w:t>transmission</w:t>
      </w:r>
      <w:r>
        <w:rPr>
          <w:spacing w:val="-11"/>
          <w:sz w:val="24"/>
        </w:rPr>
        <w:t> </w:t>
      </w:r>
      <w:r>
        <w:rPr>
          <w:sz w:val="24"/>
        </w:rPr>
        <w:t>licensee</w:t>
      </w:r>
      <w:r>
        <w:rPr>
          <w:spacing w:val="-11"/>
          <w:sz w:val="24"/>
        </w:rPr>
        <w:t> </w:t>
      </w:r>
      <w:r>
        <w:rPr>
          <w:sz w:val="24"/>
        </w:rPr>
        <w:t>have</w:t>
      </w:r>
      <w:r>
        <w:rPr>
          <w:spacing w:val="-11"/>
          <w:sz w:val="24"/>
        </w:rPr>
        <w:t> </w:t>
      </w:r>
      <w:r>
        <w:rPr>
          <w:sz w:val="24"/>
        </w:rPr>
        <w:t>obtained</w:t>
      </w:r>
      <w:r>
        <w:rPr>
          <w:spacing w:val="-10"/>
          <w:sz w:val="24"/>
        </w:rPr>
        <w:t> </w:t>
      </w:r>
      <w:r>
        <w:rPr>
          <w:sz w:val="24"/>
        </w:rPr>
        <w:t>necessary</w:t>
      </w:r>
      <w:r>
        <w:rPr>
          <w:spacing w:val="-10"/>
          <w:sz w:val="24"/>
        </w:rPr>
        <w:t> </w:t>
      </w:r>
      <w:r>
        <w:rPr>
          <w:sz w:val="24"/>
        </w:rPr>
        <w:t>approvals like PTCC, clearance from Electrical Inspectorate of CEA etc. from competent authority;</w:t>
      </w:r>
    </w:p>
    <w:p>
      <w:pPr>
        <w:pStyle w:val="ListParagraph"/>
        <w:numPr>
          <w:ilvl w:val="1"/>
          <w:numId w:val="4"/>
        </w:numPr>
        <w:tabs>
          <w:tab w:pos="1093" w:val="left" w:leader="none"/>
        </w:tabs>
        <w:spacing w:line="300" w:lineRule="auto" w:before="1" w:after="0"/>
        <w:ind w:left="1140" w:right="157" w:hanging="360"/>
        <w:jc w:val="both"/>
        <w:rPr>
          <w:sz w:val="24"/>
        </w:rPr>
      </w:pPr>
      <w:r>
        <w:rPr>
          <w:sz w:val="24"/>
        </w:rPr>
        <w:t>The</w:t>
      </w:r>
      <w:r>
        <w:rPr>
          <w:spacing w:val="-13"/>
          <w:sz w:val="24"/>
        </w:rPr>
        <w:t> </w:t>
      </w:r>
      <w:r>
        <w:rPr>
          <w:sz w:val="24"/>
        </w:rPr>
        <w:t>Applicant</w:t>
      </w:r>
      <w:r>
        <w:rPr>
          <w:spacing w:val="-12"/>
          <w:sz w:val="24"/>
        </w:rPr>
        <w:t> </w:t>
      </w:r>
      <w:r>
        <w:rPr>
          <w:sz w:val="24"/>
        </w:rPr>
        <w:t>and</w:t>
      </w:r>
      <w:r>
        <w:rPr>
          <w:spacing w:val="-12"/>
          <w:sz w:val="24"/>
        </w:rPr>
        <w:t> </w:t>
      </w:r>
      <w:r>
        <w:rPr>
          <w:sz w:val="24"/>
        </w:rPr>
        <w:t>Inter-State</w:t>
      </w:r>
      <w:r>
        <w:rPr>
          <w:spacing w:val="-14"/>
          <w:sz w:val="24"/>
        </w:rPr>
        <w:t> </w:t>
      </w:r>
      <w:r>
        <w:rPr>
          <w:sz w:val="24"/>
        </w:rPr>
        <w:t>transmission</w:t>
      </w:r>
      <w:r>
        <w:rPr>
          <w:spacing w:val="-12"/>
          <w:sz w:val="24"/>
        </w:rPr>
        <w:t> </w:t>
      </w:r>
      <w:r>
        <w:rPr>
          <w:sz w:val="24"/>
        </w:rPr>
        <w:t>licensee</w:t>
      </w:r>
      <w:r>
        <w:rPr>
          <w:spacing w:val="-13"/>
          <w:sz w:val="24"/>
        </w:rPr>
        <w:t> </w:t>
      </w:r>
      <w:r>
        <w:rPr>
          <w:sz w:val="24"/>
        </w:rPr>
        <w:t>have</w:t>
      </w:r>
      <w:r>
        <w:rPr>
          <w:spacing w:val="-12"/>
          <w:sz w:val="24"/>
        </w:rPr>
        <w:t> </w:t>
      </w:r>
      <w:r>
        <w:rPr>
          <w:sz w:val="24"/>
        </w:rPr>
        <w:t>complied</w:t>
      </w:r>
      <w:r>
        <w:rPr>
          <w:spacing w:val="-15"/>
          <w:sz w:val="24"/>
        </w:rPr>
        <w:t> </w:t>
      </w:r>
      <w:r>
        <w:rPr>
          <w:sz w:val="24"/>
        </w:rPr>
        <w:t>with</w:t>
      </w:r>
      <w:r>
        <w:rPr>
          <w:spacing w:val="-9"/>
          <w:sz w:val="24"/>
        </w:rPr>
        <w:t> </w:t>
      </w:r>
      <w:r>
        <w:rPr>
          <w:sz w:val="24"/>
        </w:rPr>
        <w:t>its</w:t>
      </w:r>
      <w:r>
        <w:rPr>
          <w:spacing w:val="-12"/>
          <w:sz w:val="24"/>
        </w:rPr>
        <w:t> </w:t>
      </w:r>
      <w:r>
        <w:rPr>
          <w:sz w:val="24"/>
        </w:rPr>
        <w:t>obligations under the Central Electricity Authority (Technical Standards for Connectivity to the Grid) Regulations, 2007 and its amendments</w:t>
      </w:r>
      <w:r>
        <w:rPr>
          <w:spacing w:val="5"/>
          <w:sz w:val="24"/>
        </w:rPr>
        <w:t> </w:t>
      </w:r>
      <w:r>
        <w:rPr>
          <w:sz w:val="24"/>
        </w:rPr>
        <w:t>thereof.</w:t>
      </w:r>
    </w:p>
    <w:p>
      <w:pPr>
        <w:pStyle w:val="BodyText"/>
        <w:spacing w:before="7"/>
        <w:rPr>
          <w:sz w:val="29"/>
        </w:rPr>
      </w:pPr>
    </w:p>
    <w:p>
      <w:pPr>
        <w:pStyle w:val="Heading1"/>
        <w:numPr>
          <w:ilvl w:val="0"/>
          <w:numId w:val="4"/>
        </w:numPr>
        <w:tabs>
          <w:tab w:pos="780" w:val="left" w:leader="none"/>
          <w:tab w:pos="781" w:val="left" w:leader="none"/>
        </w:tabs>
        <w:spacing w:line="240" w:lineRule="auto" w:before="0" w:after="0"/>
        <w:ind w:left="780" w:right="0" w:hanging="541"/>
        <w:jc w:val="left"/>
      </w:pPr>
      <w:r>
        <w:rPr/>
        <w:t>Metering</w:t>
      </w:r>
    </w:p>
    <w:p>
      <w:pPr>
        <w:pStyle w:val="BodyText"/>
        <w:spacing w:before="8"/>
        <w:rPr>
          <w:b/>
          <w:sz w:val="35"/>
        </w:rPr>
      </w:pPr>
    </w:p>
    <w:p>
      <w:pPr>
        <w:pStyle w:val="BodyText"/>
        <w:spacing w:line="297" w:lineRule="auto" w:before="1"/>
        <w:ind w:left="780" w:right="153"/>
        <w:jc w:val="both"/>
      </w:pPr>
      <w:r>
        <w:rPr/>
        <w:t>The</w:t>
      </w:r>
      <w:r>
        <w:rPr>
          <w:spacing w:val="-8"/>
        </w:rPr>
        <w:t> </w:t>
      </w:r>
      <w:r>
        <w:rPr/>
        <w:t>applicant</w:t>
      </w:r>
      <w:r>
        <w:rPr>
          <w:spacing w:val="-6"/>
        </w:rPr>
        <w:t> </w:t>
      </w:r>
      <w:r>
        <w:rPr/>
        <w:t>shall</w:t>
      </w:r>
      <w:r>
        <w:rPr>
          <w:spacing w:val="-5"/>
        </w:rPr>
        <w:t> </w:t>
      </w:r>
      <w:r>
        <w:rPr/>
        <w:t>provide</w:t>
      </w:r>
      <w:r>
        <w:rPr>
          <w:spacing w:val="-7"/>
        </w:rPr>
        <w:t> </w:t>
      </w:r>
      <w:r>
        <w:rPr/>
        <w:t>and</w:t>
      </w:r>
      <w:r>
        <w:rPr>
          <w:spacing w:val="-5"/>
        </w:rPr>
        <w:t> </w:t>
      </w:r>
      <w:r>
        <w:rPr/>
        <w:t>maintain</w:t>
      </w:r>
      <w:r>
        <w:rPr>
          <w:spacing w:val="-6"/>
        </w:rPr>
        <w:t> </w:t>
      </w:r>
      <w:r>
        <w:rPr/>
        <w:t>the</w:t>
      </w:r>
      <w:r>
        <w:rPr>
          <w:spacing w:val="-7"/>
        </w:rPr>
        <w:t> </w:t>
      </w:r>
      <w:r>
        <w:rPr/>
        <w:t>Metering</w:t>
      </w:r>
      <w:r>
        <w:rPr>
          <w:spacing w:val="-4"/>
        </w:rPr>
        <w:t> </w:t>
      </w:r>
      <w:r>
        <w:rPr/>
        <w:t>equipment,</w:t>
      </w:r>
      <w:r>
        <w:rPr>
          <w:spacing w:val="-1"/>
        </w:rPr>
        <w:t> </w:t>
      </w:r>
      <w:r>
        <w:rPr/>
        <w:t>in accordance</w:t>
      </w:r>
      <w:r>
        <w:rPr>
          <w:spacing w:val="-2"/>
        </w:rPr>
        <w:t> </w:t>
      </w:r>
      <w:r>
        <w:rPr/>
        <w:t>with</w:t>
      </w:r>
      <w:r>
        <w:rPr>
          <w:spacing w:val="-1"/>
        </w:rPr>
        <w:t> </w:t>
      </w:r>
      <w:r>
        <w:rPr/>
        <w:t>the Central Electricity Authority (Installation and Operation of Meters) Regulations, 2006 and IEGC regulation, 2010 and its amendments thereof.</w:t>
      </w:r>
    </w:p>
    <w:p>
      <w:pPr>
        <w:pStyle w:val="BodyText"/>
        <w:spacing w:before="1"/>
        <w:rPr>
          <w:sz w:val="35"/>
        </w:rPr>
      </w:pPr>
    </w:p>
    <w:p>
      <w:pPr>
        <w:pStyle w:val="Heading1"/>
        <w:numPr>
          <w:ilvl w:val="1"/>
          <w:numId w:val="5"/>
        </w:numPr>
        <w:tabs>
          <w:tab w:pos="780" w:val="left" w:leader="none"/>
          <w:tab w:pos="781" w:val="left" w:leader="none"/>
        </w:tabs>
        <w:spacing w:line="240" w:lineRule="auto" w:before="0" w:after="0"/>
        <w:ind w:left="780" w:right="0" w:hanging="541"/>
        <w:jc w:val="left"/>
      </w:pPr>
      <w:r>
        <w:rPr/>
        <w:t>Site</w:t>
      </w:r>
      <w:r>
        <w:rPr>
          <w:spacing w:val="-3"/>
        </w:rPr>
        <w:t> </w:t>
      </w:r>
      <w:r>
        <w:rPr/>
        <w:t>Access</w:t>
      </w:r>
    </w:p>
    <w:p>
      <w:pPr>
        <w:pStyle w:val="BodyText"/>
        <w:spacing w:before="5"/>
        <w:rPr>
          <w:b/>
          <w:sz w:val="35"/>
        </w:rPr>
      </w:pPr>
    </w:p>
    <w:p>
      <w:pPr>
        <w:pStyle w:val="BodyText"/>
        <w:spacing w:line="300" w:lineRule="auto"/>
        <w:ind w:left="780" w:right="149"/>
        <w:jc w:val="both"/>
      </w:pPr>
      <w:r>
        <w:rPr/>
        <w:t>Being restricted area the Inter-State transmission licensee may give permission or allow access</w:t>
      </w:r>
      <w:r>
        <w:rPr>
          <w:spacing w:val="-8"/>
        </w:rPr>
        <w:t> </w:t>
      </w:r>
      <w:r>
        <w:rPr/>
        <w:t>to</w:t>
      </w:r>
      <w:r>
        <w:rPr>
          <w:spacing w:val="-2"/>
        </w:rPr>
        <w:t> </w:t>
      </w:r>
      <w:r>
        <w:rPr/>
        <w:t>the</w:t>
      </w:r>
      <w:r>
        <w:rPr>
          <w:spacing w:val="-6"/>
        </w:rPr>
        <w:t> </w:t>
      </w:r>
      <w:r>
        <w:rPr/>
        <w:t>employees</w:t>
      </w:r>
      <w:r>
        <w:rPr>
          <w:spacing w:val="-7"/>
        </w:rPr>
        <w:t> </w:t>
      </w:r>
      <w:r>
        <w:rPr/>
        <w:t>and/or</w:t>
      </w:r>
      <w:r>
        <w:rPr>
          <w:spacing w:val="-7"/>
        </w:rPr>
        <w:t> </w:t>
      </w:r>
      <w:r>
        <w:rPr/>
        <w:t>authorized</w:t>
      </w:r>
      <w:r>
        <w:rPr>
          <w:spacing w:val="-4"/>
        </w:rPr>
        <w:t> </w:t>
      </w:r>
      <w:r>
        <w:rPr/>
        <w:t>agents</w:t>
      </w:r>
      <w:r>
        <w:rPr>
          <w:spacing w:val="-8"/>
        </w:rPr>
        <w:t> </w:t>
      </w:r>
      <w:r>
        <w:rPr/>
        <w:t>and/or</w:t>
      </w:r>
      <w:r>
        <w:rPr>
          <w:spacing w:val="-7"/>
        </w:rPr>
        <w:t> </w:t>
      </w:r>
      <w:r>
        <w:rPr/>
        <w:t>authorized</w:t>
      </w:r>
      <w:r>
        <w:rPr>
          <w:spacing w:val="-7"/>
        </w:rPr>
        <w:t> </w:t>
      </w:r>
      <w:r>
        <w:rPr/>
        <w:t>subcontractors</w:t>
      </w:r>
      <w:r>
        <w:rPr>
          <w:spacing w:val="-8"/>
        </w:rPr>
        <w:t> </w:t>
      </w:r>
      <w:r>
        <w:rPr/>
        <w:t>and/or authorized invitees of the Applicant in it’s premises to carry out preliminary site investigation works, the Connection Works, modification works, inspections, etc., based on a written request by the Applicant giving reasonable advance notice. All such actions are to be carried out under the strict supervision of the Inter-State</w:t>
      </w:r>
      <w:r>
        <w:rPr>
          <w:spacing w:val="-33"/>
        </w:rPr>
        <w:t> </w:t>
      </w:r>
      <w:r>
        <w:rPr/>
        <w:t>transmission</w:t>
      </w:r>
    </w:p>
    <w:p>
      <w:pPr>
        <w:spacing w:after="0" w:line="300" w:lineRule="auto"/>
        <w:jc w:val="both"/>
        <w:sectPr>
          <w:pgSz w:w="11930" w:h="16850"/>
          <w:pgMar w:header="0" w:footer="751" w:top="1600" w:bottom="940" w:left="1200" w:right="1240"/>
        </w:sectPr>
      </w:pPr>
    </w:p>
    <w:p>
      <w:pPr>
        <w:pStyle w:val="BodyText"/>
        <w:spacing w:before="2"/>
        <w:rPr>
          <w:sz w:val="13"/>
        </w:rPr>
      </w:pPr>
    </w:p>
    <w:p>
      <w:pPr>
        <w:pStyle w:val="BodyText"/>
        <w:spacing w:line="300" w:lineRule="auto" w:before="90"/>
        <w:ind w:left="780" w:right="151"/>
        <w:jc w:val="both"/>
      </w:pPr>
      <w:r>
        <w:rPr/>
        <w:t>licensee 's authorized representative to safeguard the safety and security requirements of Inter-State transmission licensee's installations and safety of the representatives of the Applicant or Inter-State transmission licensee.</w:t>
      </w:r>
    </w:p>
    <w:p>
      <w:pPr>
        <w:pStyle w:val="BodyText"/>
        <w:spacing w:line="300" w:lineRule="auto" w:before="146"/>
        <w:ind w:left="780" w:right="153"/>
        <w:jc w:val="both"/>
      </w:pPr>
      <w:r>
        <w:rPr/>
        <w:t>Similarly the Applicant may also allow, on prior permission, site access to the Inter- State transmission licensee 's employees and/or authorized agents invitees to carry out preliminary site investigation works, inspections, etc. in the connection site of the Applicant, provided that a written request has been made giving reasonable advance notice.</w:t>
      </w:r>
    </w:p>
    <w:p>
      <w:pPr>
        <w:pStyle w:val="BodyText"/>
        <w:spacing w:before="11"/>
        <w:rPr>
          <w:sz w:val="29"/>
        </w:rPr>
      </w:pPr>
    </w:p>
    <w:p>
      <w:pPr>
        <w:pStyle w:val="Heading1"/>
        <w:numPr>
          <w:ilvl w:val="1"/>
          <w:numId w:val="5"/>
        </w:numPr>
        <w:tabs>
          <w:tab w:pos="822" w:val="left" w:leader="none"/>
        </w:tabs>
        <w:spacing w:line="240" w:lineRule="auto" w:before="0" w:after="0"/>
        <w:ind w:left="821" w:right="0" w:hanging="582"/>
        <w:jc w:val="both"/>
      </w:pPr>
      <w:r>
        <w:rPr/>
        <w:t>Conditions of</w:t>
      </w:r>
      <w:r>
        <w:rPr>
          <w:spacing w:val="-2"/>
        </w:rPr>
        <w:t> </w:t>
      </w:r>
      <w:r>
        <w:rPr/>
        <w:t>access</w:t>
      </w:r>
    </w:p>
    <w:p>
      <w:pPr>
        <w:pStyle w:val="BodyText"/>
        <w:spacing w:line="300" w:lineRule="auto" w:before="231"/>
        <w:ind w:left="780" w:right="152"/>
        <w:jc w:val="both"/>
      </w:pPr>
      <w:r>
        <w:rPr/>
        <w:t>Site</w:t>
      </w:r>
      <w:r>
        <w:rPr>
          <w:spacing w:val="-7"/>
        </w:rPr>
        <w:t> </w:t>
      </w:r>
      <w:r>
        <w:rPr/>
        <w:t>access</w:t>
      </w:r>
      <w:r>
        <w:rPr>
          <w:spacing w:val="-4"/>
        </w:rPr>
        <w:t> </w:t>
      </w:r>
      <w:r>
        <w:rPr/>
        <w:t>for</w:t>
      </w:r>
      <w:r>
        <w:rPr>
          <w:spacing w:val="-4"/>
        </w:rPr>
        <w:t> </w:t>
      </w:r>
      <w:r>
        <w:rPr/>
        <w:t>the</w:t>
      </w:r>
      <w:r>
        <w:rPr>
          <w:spacing w:val="-4"/>
        </w:rPr>
        <w:t> </w:t>
      </w:r>
      <w:r>
        <w:rPr/>
        <w:t>Applicant</w:t>
      </w:r>
      <w:r>
        <w:rPr>
          <w:spacing w:val="-2"/>
        </w:rPr>
        <w:t> </w:t>
      </w:r>
      <w:r>
        <w:rPr/>
        <w:t>or</w:t>
      </w:r>
      <w:r>
        <w:rPr>
          <w:spacing w:val="-5"/>
        </w:rPr>
        <w:t> </w:t>
      </w:r>
      <w:r>
        <w:rPr/>
        <w:t>Inter-State</w:t>
      </w:r>
      <w:r>
        <w:rPr>
          <w:spacing w:val="-5"/>
        </w:rPr>
        <w:t> </w:t>
      </w:r>
      <w:r>
        <w:rPr/>
        <w:t>transmission</w:t>
      </w:r>
      <w:r>
        <w:rPr>
          <w:spacing w:val="-4"/>
        </w:rPr>
        <w:t> </w:t>
      </w:r>
      <w:r>
        <w:rPr/>
        <w:t>licensee</w:t>
      </w:r>
      <w:r>
        <w:rPr>
          <w:spacing w:val="-6"/>
        </w:rPr>
        <w:t> </w:t>
      </w:r>
      <w:r>
        <w:rPr/>
        <w:t>shall</w:t>
      </w:r>
      <w:r>
        <w:rPr>
          <w:spacing w:val="-3"/>
        </w:rPr>
        <w:t> </w:t>
      </w:r>
      <w:r>
        <w:rPr/>
        <w:t>include</w:t>
      </w:r>
      <w:r>
        <w:rPr>
          <w:spacing w:val="-7"/>
        </w:rPr>
        <w:t> </w:t>
      </w:r>
      <w:r>
        <w:rPr/>
        <w:t>the</w:t>
      </w:r>
      <w:r>
        <w:rPr>
          <w:spacing w:val="-5"/>
        </w:rPr>
        <w:t> </w:t>
      </w:r>
      <w:r>
        <w:rPr/>
        <w:t>right to bring such vehicles, plant, machinery and construction materials as shall be reasonably necessary to carry out the functions in respect of which the permission of access is granted. Being a restricted area, any individual to whom access is given under the Agreement shall comply with all reasonable directions given by the Applicant or Inter- State transmission licensee and its duly authorized employees and agents to safe guard the interest of safety and security requirements of personnel and equipment. All such access shall be exercisable without payment of any</w:t>
      </w:r>
      <w:r>
        <w:rPr>
          <w:spacing w:val="-5"/>
        </w:rPr>
        <w:t> </w:t>
      </w:r>
      <w:r>
        <w:rPr/>
        <w:t>kind.</w:t>
      </w:r>
    </w:p>
    <w:p>
      <w:pPr>
        <w:pStyle w:val="BodyText"/>
        <w:spacing w:before="7"/>
        <w:rPr>
          <w:sz w:val="29"/>
        </w:rPr>
      </w:pPr>
    </w:p>
    <w:p>
      <w:pPr>
        <w:pStyle w:val="Heading1"/>
        <w:numPr>
          <w:ilvl w:val="0"/>
          <w:numId w:val="6"/>
        </w:numPr>
        <w:tabs>
          <w:tab w:pos="781" w:val="left" w:leader="none"/>
        </w:tabs>
        <w:spacing w:line="240" w:lineRule="auto" w:before="0" w:after="0"/>
        <w:ind w:left="780" w:right="0" w:hanging="541"/>
        <w:jc w:val="both"/>
      </w:pPr>
      <w:r>
        <w:rPr/>
        <w:t>Transfer Assignment and</w:t>
      </w:r>
      <w:r>
        <w:rPr>
          <w:spacing w:val="-3"/>
        </w:rPr>
        <w:t> </w:t>
      </w:r>
      <w:r>
        <w:rPr/>
        <w:t>Pledge</w:t>
      </w:r>
    </w:p>
    <w:p>
      <w:pPr>
        <w:pStyle w:val="BodyText"/>
        <w:spacing w:line="300" w:lineRule="auto" w:before="200"/>
        <w:ind w:left="780" w:right="155"/>
        <w:jc w:val="both"/>
      </w:pPr>
      <w:r>
        <w:rPr/>
        <w:t>The Applicant or Inter-State transmission licensee shall not transfer, assign or pledge its rights and obligations under this connection agreement to any other person except as provided under Regulation 8A of the CERC (Grant of Connectivity, Long-term Access and Medium-term Open Access in inter-State Transmission and related matters) Regulations, 2009 and its amendments thereof.</w:t>
      </w:r>
    </w:p>
    <w:p>
      <w:pPr>
        <w:pStyle w:val="Heading1"/>
        <w:numPr>
          <w:ilvl w:val="0"/>
          <w:numId w:val="6"/>
        </w:numPr>
        <w:tabs>
          <w:tab w:pos="781" w:val="left" w:leader="none"/>
        </w:tabs>
        <w:spacing w:line="240" w:lineRule="auto" w:before="140" w:after="0"/>
        <w:ind w:left="780" w:right="0" w:hanging="541"/>
        <w:jc w:val="both"/>
      </w:pPr>
      <w:r>
        <w:rPr/>
        <w:t>Notice</w:t>
      </w:r>
    </w:p>
    <w:p>
      <w:pPr>
        <w:pStyle w:val="BodyText"/>
        <w:spacing w:before="8"/>
        <w:rPr>
          <w:b/>
          <w:sz w:val="35"/>
        </w:rPr>
      </w:pPr>
    </w:p>
    <w:p>
      <w:pPr>
        <w:pStyle w:val="BodyText"/>
        <w:spacing w:line="300" w:lineRule="auto"/>
        <w:ind w:left="780" w:right="153"/>
        <w:jc w:val="both"/>
      </w:pPr>
      <w:r>
        <w:rPr/>
        <w:t>All correspondence/notices required or referred to under this Agreement shall be in writing and signed by the respective authorized signatories of the parties mentioned herein, unless otherwise notified. Each such notice shall be deemed to have been duly given if delivered or served by registered mail/speed post of the department of post with an acknowledgment due or by a courier agency with proof of delivery to other party (ies) as per authorization by parties.</w:t>
      </w:r>
    </w:p>
    <w:p>
      <w:pPr>
        <w:pStyle w:val="BodyText"/>
        <w:spacing w:before="2"/>
        <w:rPr>
          <w:sz w:val="30"/>
        </w:rPr>
      </w:pPr>
    </w:p>
    <w:p>
      <w:pPr>
        <w:pStyle w:val="BodyText"/>
        <w:spacing w:line="300" w:lineRule="auto"/>
        <w:ind w:left="780" w:right="150"/>
        <w:jc w:val="both"/>
      </w:pPr>
      <w:r>
        <w:rPr/>
        <w:t>The authorities of the parties who shall </w:t>
      </w:r>
      <w:r>
        <w:rPr>
          <w:spacing w:val="9"/>
        </w:rPr>
        <w:t>be </w:t>
      </w:r>
      <w:r>
        <w:rPr/>
        <w:t>responsible for the correspondence notices etc. in connection with this agreement shall be informed in</w:t>
      </w:r>
      <w:r>
        <w:rPr>
          <w:spacing w:val="-5"/>
        </w:rPr>
        <w:t> </w:t>
      </w:r>
      <w:r>
        <w:rPr/>
        <w:t>advance.</w:t>
      </w:r>
    </w:p>
    <w:p>
      <w:pPr>
        <w:spacing w:after="0" w:line="300" w:lineRule="auto"/>
        <w:jc w:val="both"/>
        <w:sectPr>
          <w:pgSz w:w="11930" w:h="16850"/>
          <w:pgMar w:header="0" w:footer="751" w:top="1600" w:bottom="940" w:left="1200" w:right="1240"/>
        </w:sectPr>
      </w:pPr>
    </w:p>
    <w:p>
      <w:pPr>
        <w:pStyle w:val="BodyText"/>
        <w:spacing w:before="2"/>
        <w:rPr>
          <w:sz w:val="13"/>
        </w:rPr>
      </w:pPr>
    </w:p>
    <w:p>
      <w:pPr>
        <w:pStyle w:val="Heading1"/>
        <w:numPr>
          <w:ilvl w:val="0"/>
          <w:numId w:val="6"/>
        </w:numPr>
        <w:tabs>
          <w:tab w:pos="780" w:val="left" w:leader="none"/>
          <w:tab w:pos="781" w:val="left" w:leader="none"/>
        </w:tabs>
        <w:spacing w:line="240" w:lineRule="auto" w:before="90" w:after="0"/>
        <w:ind w:left="780" w:right="0" w:hanging="541"/>
        <w:jc w:val="left"/>
      </w:pPr>
      <w:r>
        <w:rPr/>
        <w:t>Settlement of Disputes and</w:t>
      </w:r>
      <w:r>
        <w:rPr>
          <w:spacing w:val="3"/>
        </w:rPr>
        <w:t> </w:t>
      </w:r>
      <w:r>
        <w:rPr/>
        <w:t>Arbitration</w:t>
      </w:r>
    </w:p>
    <w:p>
      <w:pPr>
        <w:pStyle w:val="BodyText"/>
        <w:spacing w:before="8"/>
        <w:rPr>
          <w:b/>
          <w:sz w:val="35"/>
        </w:rPr>
      </w:pPr>
    </w:p>
    <w:p>
      <w:pPr>
        <w:pStyle w:val="BodyText"/>
        <w:spacing w:line="297" w:lineRule="auto"/>
        <w:ind w:left="780" w:right="155"/>
        <w:jc w:val="both"/>
      </w:pPr>
      <w:r>
        <w:rPr/>
        <w:t>All differences and/or disputes between the parties arising out of or in connection with these presents shall at first instance be settled through amicable settlement at the level  of</w:t>
      </w:r>
      <w:r>
        <w:rPr>
          <w:spacing w:val="-1"/>
        </w:rPr>
        <w:t> </w:t>
      </w:r>
      <w:r>
        <w:rPr/>
        <w:t>CEO/CMD.</w:t>
      </w:r>
    </w:p>
    <w:p>
      <w:pPr>
        <w:pStyle w:val="BodyText"/>
        <w:spacing w:line="300" w:lineRule="auto" w:before="154"/>
        <w:ind w:left="780" w:right="157"/>
        <w:jc w:val="both"/>
      </w:pPr>
      <w:r>
        <w:rPr/>
        <w:t>In the event of unresolved disputes or differences as covered under the statutory arbitration provided under The Electricity Act, 2003, the same shall be resolved accordingly.</w:t>
      </w:r>
    </w:p>
    <w:p>
      <w:pPr>
        <w:pStyle w:val="BodyText"/>
        <w:spacing w:line="300" w:lineRule="auto" w:before="197"/>
        <w:ind w:left="780" w:right="161"/>
        <w:jc w:val="both"/>
      </w:pPr>
      <w:r>
        <w:rPr/>
        <w:t>Notwithstanding the existence of any disputes and differences referred to arbitration,  the parties herein shall continue to perform their respective obligations under this Agreement.</w:t>
      </w:r>
    </w:p>
    <w:p>
      <w:pPr>
        <w:pStyle w:val="BodyText"/>
        <w:spacing w:before="9"/>
      </w:pPr>
    </w:p>
    <w:p>
      <w:pPr>
        <w:pStyle w:val="Heading1"/>
        <w:numPr>
          <w:ilvl w:val="0"/>
          <w:numId w:val="6"/>
        </w:numPr>
        <w:tabs>
          <w:tab w:pos="780" w:val="left" w:leader="none"/>
          <w:tab w:pos="781" w:val="left" w:leader="none"/>
        </w:tabs>
        <w:spacing w:line="240" w:lineRule="auto" w:before="0" w:after="0"/>
        <w:ind w:left="780" w:right="0" w:hanging="541"/>
        <w:jc w:val="left"/>
      </w:pPr>
      <w:r>
        <w:rPr/>
        <w:t>Force</w:t>
      </w:r>
      <w:r>
        <w:rPr>
          <w:spacing w:val="-2"/>
        </w:rPr>
        <w:t> </w:t>
      </w:r>
      <w:r>
        <w:rPr/>
        <w:t>Majeure</w:t>
      </w:r>
    </w:p>
    <w:p>
      <w:pPr>
        <w:pStyle w:val="BodyText"/>
        <w:spacing w:line="300" w:lineRule="auto" w:before="228"/>
        <w:ind w:left="780" w:right="154"/>
        <w:jc w:val="both"/>
      </w:pPr>
      <w:r>
        <w:rPr/>
        <w:t>Force Majeure herein is defined as any clause which is beyond the control of the Applicant or inter-State transmission licensee as the case may be, which could not be foreseen</w:t>
      </w:r>
      <w:r>
        <w:rPr>
          <w:spacing w:val="-11"/>
        </w:rPr>
        <w:t> </w:t>
      </w:r>
      <w:r>
        <w:rPr/>
        <w:t>or</w:t>
      </w:r>
      <w:r>
        <w:rPr>
          <w:spacing w:val="-12"/>
        </w:rPr>
        <w:t> </w:t>
      </w:r>
      <w:r>
        <w:rPr/>
        <w:t>with</w:t>
      </w:r>
      <w:r>
        <w:rPr>
          <w:spacing w:val="-12"/>
        </w:rPr>
        <w:t> </w:t>
      </w:r>
      <w:r>
        <w:rPr/>
        <w:t>a</w:t>
      </w:r>
      <w:r>
        <w:rPr>
          <w:spacing w:val="-12"/>
        </w:rPr>
        <w:t> </w:t>
      </w:r>
      <w:r>
        <w:rPr/>
        <w:t>reasonable</w:t>
      </w:r>
      <w:r>
        <w:rPr>
          <w:spacing w:val="-14"/>
        </w:rPr>
        <w:t> </w:t>
      </w:r>
      <w:r>
        <w:rPr/>
        <w:t>amount</w:t>
      </w:r>
      <w:r>
        <w:rPr>
          <w:spacing w:val="-13"/>
        </w:rPr>
        <w:t> </w:t>
      </w:r>
      <w:r>
        <w:rPr/>
        <w:t>of</w:t>
      </w:r>
      <w:r>
        <w:rPr>
          <w:spacing w:val="-14"/>
        </w:rPr>
        <w:t> </w:t>
      </w:r>
      <w:r>
        <w:rPr/>
        <w:t>diligence</w:t>
      </w:r>
      <w:r>
        <w:rPr>
          <w:spacing w:val="-10"/>
        </w:rPr>
        <w:t> </w:t>
      </w:r>
      <w:r>
        <w:rPr/>
        <w:t>could</w:t>
      </w:r>
      <w:r>
        <w:rPr>
          <w:spacing w:val="-13"/>
        </w:rPr>
        <w:t> </w:t>
      </w:r>
      <w:r>
        <w:rPr/>
        <w:t>not</w:t>
      </w:r>
      <w:r>
        <w:rPr>
          <w:spacing w:val="-13"/>
        </w:rPr>
        <w:t> </w:t>
      </w:r>
      <w:r>
        <w:rPr/>
        <w:t>have</w:t>
      </w:r>
      <w:r>
        <w:rPr>
          <w:spacing w:val="-13"/>
        </w:rPr>
        <w:t> </w:t>
      </w:r>
      <w:r>
        <w:rPr/>
        <w:t>been</w:t>
      </w:r>
      <w:r>
        <w:rPr>
          <w:spacing w:val="-11"/>
        </w:rPr>
        <w:t> </w:t>
      </w:r>
      <w:r>
        <w:rPr/>
        <w:t>foreseen</w:t>
      </w:r>
      <w:r>
        <w:rPr>
          <w:spacing w:val="-13"/>
        </w:rPr>
        <w:t> </w:t>
      </w:r>
      <w:r>
        <w:rPr/>
        <w:t>and</w:t>
      </w:r>
      <w:r>
        <w:rPr>
          <w:spacing w:val="-13"/>
        </w:rPr>
        <w:t> </w:t>
      </w:r>
      <w:r>
        <w:rPr/>
        <w:t>which substantially affects the performance of the agreement. Force Majeure events would include:</w:t>
      </w:r>
    </w:p>
    <w:p>
      <w:pPr>
        <w:pStyle w:val="BodyText"/>
        <w:spacing w:before="6"/>
      </w:pPr>
    </w:p>
    <w:p>
      <w:pPr>
        <w:pStyle w:val="BodyText"/>
        <w:spacing w:line="295" w:lineRule="auto"/>
        <w:ind w:left="1500" w:right="149" w:hanging="8"/>
        <w:jc w:val="both"/>
      </w:pPr>
      <w:r>
        <w:rPr/>
        <w:drawing>
          <wp:anchor distT="0" distB="0" distL="0" distR="0" allowOverlap="1" layoutInCell="1" locked="0" behindDoc="0" simplePos="0" relativeHeight="15728640">
            <wp:simplePos x="0" y="0"/>
            <wp:positionH relativeFrom="page">
              <wp:posOffset>1494267</wp:posOffset>
            </wp:positionH>
            <wp:positionV relativeFrom="paragraph">
              <wp:posOffset>34273</wp:posOffset>
            </wp:positionV>
            <wp:extent cx="54385" cy="5411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4385" cy="54116"/>
                    </a:xfrm>
                    <a:prstGeom prst="rect">
                      <a:avLst/>
                    </a:prstGeom>
                  </pic:spPr>
                </pic:pic>
              </a:graphicData>
            </a:graphic>
          </wp:anchor>
        </w:drawing>
      </w:r>
      <w:r>
        <w:rPr/>
        <w:t>Natural phenomenon including but not limited to floods, droughts, earthquake and epidemics/ pandemics notified by Indian Governmental</w:t>
      </w:r>
      <w:r>
        <w:rPr>
          <w:spacing w:val="-4"/>
        </w:rPr>
        <w:t> </w:t>
      </w:r>
      <w:r>
        <w:rPr/>
        <w:t>Instrumentality;</w:t>
      </w:r>
    </w:p>
    <w:p>
      <w:pPr>
        <w:pStyle w:val="BodyText"/>
        <w:spacing w:line="297" w:lineRule="auto" w:before="89"/>
        <w:ind w:left="1500" w:right="146" w:firstLine="2"/>
        <w:jc w:val="both"/>
      </w:pPr>
      <w:r>
        <w:rPr/>
        <w:drawing>
          <wp:anchor distT="0" distB="0" distL="0" distR="0" allowOverlap="1" layoutInCell="1" locked="0" behindDoc="0" simplePos="0" relativeHeight="15729152">
            <wp:simplePos x="0" y="0"/>
            <wp:positionH relativeFrom="page">
              <wp:posOffset>1494267</wp:posOffset>
            </wp:positionH>
            <wp:positionV relativeFrom="paragraph">
              <wp:posOffset>91423</wp:posOffset>
            </wp:positionV>
            <wp:extent cx="54385" cy="54116"/>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54385" cy="54116"/>
                    </a:xfrm>
                    <a:prstGeom prst="rect">
                      <a:avLst/>
                    </a:prstGeom>
                  </pic:spPr>
                </pic:pic>
              </a:graphicData>
            </a:graphic>
          </wp:anchor>
        </w:drawing>
      </w:r>
      <w:r>
        <w:rPr/>
        <w:t>War (whether declared or undeclared), invasion, armed conflict or act of foreign enemy in each case involving or directly affecting India, other civil commotion including but not limited to revolution, riot, insurrection, act of terrorism or sabotage in each case within India;</w:t>
      </w:r>
    </w:p>
    <w:p>
      <w:pPr>
        <w:pStyle w:val="BodyText"/>
        <w:spacing w:line="297" w:lineRule="auto" w:before="81"/>
        <w:ind w:left="1500" w:right="147" w:hanging="56"/>
        <w:jc w:val="both"/>
      </w:pPr>
      <w:r>
        <w:rPr/>
        <w:drawing>
          <wp:anchor distT="0" distB="0" distL="0" distR="0" allowOverlap="1" layoutInCell="1" locked="0" behindDoc="0" simplePos="0" relativeHeight="15729664">
            <wp:simplePos x="0" y="0"/>
            <wp:positionH relativeFrom="page">
              <wp:posOffset>1494267</wp:posOffset>
            </wp:positionH>
            <wp:positionV relativeFrom="paragraph">
              <wp:posOffset>85962</wp:posOffset>
            </wp:positionV>
            <wp:extent cx="54385" cy="54116"/>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54385" cy="54116"/>
                    </a:xfrm>
                    <a:prstGeom prst="rect">
                      <a:avLst/>
                    </a:prstGeom>
                  </pic:spPr>
                </pic:pic>
              </a:graphicData>
            </a:graphic>
          </wp:anchor>
        </w:drawing>
      </w:r>
      <w:r>
        <w:rPr/>
        <w:t>Nuclear explosion, radioactive or chemical contamination or ionizing radiation directly affecting the generation station, captive generating plant or bulk consumer, Inter-state transmission licensee, or any facility or system that is integral to and substantial for the performance of this agreement.</w:t>
      </w:r>
    </w:p>
    <w:p>
      <w:pPr>
        <w:pStyle w:val="BodyText"/>
        <w:spacing w:line="292" w:lineRule="auto" w:before="86"/>
        <w:ind w:left="1500" w:right="154" w:hanging="12"/>
        <w:jc w:val="both"/>
      </w:pPr>
      <w:r>
        <w:rPr/>
        <w:drawing>
          <wp:anchor distT="0" distB="0" distL="0" distR="0" allowOverlap="1" layoutInCell="1" locked="0" behindDoc="0" simplePos="0" relativeHeight="15730176">
            <wp:simplePos x="0" y="0"/>
            <wp:positionH relativeFrom="page">
              <wp:posOffset>1494267</wp:posOffset>
            </wp:positionH>
            <wp:positionV relativeFrom="paragraph">
              <wp:posOffset>87740</wp:posOffset>
            </wp:positionV>
            <wp:extent cx="54385" cy="54116"/>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54385" cy="54116"/>
                    </a:xfrm>
                    <a:prstGeom prst="rect">
                      <a:avLst/>
                    </a:prstGeom>
                  </pic:spPr>
                </pic:pic>
              </a:graphicData>
            </a:graphic>
          </wp:anchor>
        </w:drawing>
      </w:r>
      <w:r>
        <w:rPr/>
        <w:t>Any event or circumstances of nature analogous to any events set forth above within India.</w:t>
      </w:r>
    </w:p>
    <w:p>
      <w:pPr>
        <w:pStyle w:val="BodyText"/>
        <w:spacing w:before="11"/>
        <w:rPr>
          <w:sz w:val="29"/>
        </w:rPr>
      </w:pPr>
    </w:p>
    <w:p>
      <w:pPr>
        <w:pStyle w:val="BodyText"/>
        <w:ind w:left="780" w:right="151"/>
        <w:jc w:val="both"/>
      </w:pPr>
      <w:r>
        <w:rPr/>
        <w:t>Provided either party shall within fifteen (15) days from the occurrence of such a Force Majeure event notify the other in writing of such cause(s) and mitigation methods proposed.</w:t>
      </w:r>
    </w:p>
    <w:p>
      <w:pPr>
        <w:pStyle w:val="BodyText"/>
        <w:spacing w:line="300" w:lineRule="auto" w:before="214"/>
        <w:ind w:left="780" w:right="163"/>
        <w:jc w:val="both"/>
      </w:pPr>
      <w:r>
        <w:rPr/>
        <w:t>Neither of the parties shall be liable for delays in performing obligations on account of any force majeure causes as referred to and/or defined above.</w:t>
      </w:r>
    </w:p>
    <w:p>
      <w:pPr>
        <w:spacing w:after="0" w:line="300" w:lineRule="auto"/>
        <w:jc w:val="both"/>
        <w:sectPr>
          <w:pgSz w:w="11930" w:h="16850"/>
          <w:pgMar w:header="0" w:footer="751" w:top="1600" w:bottom="940" w:left="1200" w:right="1240"/>
        </w:sectPr>
      </w:pPr>
    </w:p>
    <w:p>
      <w:pPr>
        <w:pStyle w:val="BodyText"/>
        <w:spacing w:before="2"/>
        <w:rPr>
          <w:sz w:val="13"/>
        </w:rPr>
      </w:pPr>
    </w:p>
    <w:p>
      <w:pPr>
        <w:pStyle w:val="Heading1"/>
        <w:numPr>
          <w:ilvl w:val="0"/>
          <w:numId w:val="7"/>
        </w:numPr>
        <w:tabs>
          <w:tab w:pos="780" w:val="left" w:leader="none"/>
          <w:tab w:pos="781" w:val="left" w:leader="none"/>
        </w:tabs>
        <w:spacing w:line="240" w:lineRule="auto" w:before="90" w:after="0"/>
        <w:ind w:left="780" w:right="0" w:hanging="541"/>
        <w:jc w:val="left"/>
      </w:pPr>
      <w:r>
        <w:rPr/>
        <w:t>Confidentiality</w:t>
      </w:r>
    </w:p>
    <w:p>
      <w:pPr>
        <w:pStyle w:val="BodyText"/>
        <w:spacing w:line="300" w:lineRule="auto" w:before="199"/>
        <w:ind w:left="780" w:right="147"/>
        <w:jc w:val="both"/>
      </w:pPr>
      <w:r>
        <w:rPr/>
        <w:t>The parties shall keep in confidence any information obtained under this Connection Agreement and shall not divulge the same to any third party without the prior written consent of the other party, unless such information is</w:t>
      </w:r>
    </w:p>
    <w:p>
      <w:pPr>
        <w:pStyle w:val="BodyText"/>
        <w:spacing w:before="2"/>
      </w:pPr>
    </w:p>
    <w:p>
      <w:pPr>
        <w:pStyle w:val="ListParagraph"/>
        <w:numPr>
          <w:ilvl w:val="1"/>
          <w:numId w:val="7"/>
        </w:numPr>
        <w:tabs>
          <w:tab w:pos="1500" w:val="left" w:leader="none"/>
          <w:tab w:pos="1501" w:val="left" w:leader="none"/>
        </w:tabs>
        <w:spacing w:line="240" w:lineRule="auto" w:before="0" w:after="0"/>
        <w:ind w:left="1500" w:right="0" w:hanging="541"/>
        <w:jc w:val="left"/>
        <w:rPr>
          <w:sz w:val="24"/>
        </w:rPr>
      </w:pPr>
      <w:r>
        <w:rPr>
          <w:sz w:val="24"/>
        </w:rPr>
        <w:t>in the public</w:t>
      </w:r>
      <w:r>
        <w:rPr>
          <w:spacing w:val="-3"/>
          <w:sz w:val="24"/>
        </w:rPr>
        <w:t> </w:t>
      </w:r>
      <w:r>
        <w:rPr>
          <w:sz w:val="24"/>
        </w:rPr>
        <w:t>domain,</w:t>
      </w:r>
    </w:p>
    <w:p>
      <w:pPr>
        <w:pStyle w:val="ListParagraph"/>
        <w:numPr>
          <w:ilvl w:val="1"/>
          <w:numId w:val="7"/>
        </w:numPr>
        <w:tabs>
          <w:tab w:pos="1500" w:val="left" w:leader="none"/>
          <w:tab w:pos="1501" w:val="left" w:leader="none"/>
        </w:tabs>
        <w:spacing w:line="240" w:lineRule="auto" w:before="70" w:after="0"/>
        <w:ind w:left="1500" w:right="0" w:hanging="541"/>
        <w:jc w:val="left"/>
        <w:rPr>
          <w:sz w:val="24"/>
        </w:rPr>
      </w:pPr>
      <w:r>
        <w:rPr>
          <w:sz w:val="24"/>
        </w:rPr>
        <w:t>already in the possession of the receiving</w:t>
      </w:r>
      <w:r>
        <w:rPr>
          <w:spacing w:val="-10"/>
          <w:sz w:val="24"/>
        </w:rPr>
        <w:t> </w:t>
      </w:r>
      <w:r>
        <w:rPr>
          <w:sz w:val="24"/>
        </w:rPr>
        <w:t>party,</w:t>
      </w:r>
    </w:p>
    <w:p>
      <w:pPr>
        <w:pStyle w:val="ListParagraph"/>
        <w:numPr>
          <w:ilvl w:val="1"/>
          <w:numId w:val="7"/>
        </w:numPr>
        <w:tabs>
          <w:tab w:pos="1500" w:val="left" w:leader="none"/>
          <w:tab w:pos="1501" w:val="left" w:leader="none"/>
        </w:tabs>
        <w:spacing w:line="240" w:lineRule="auto" w:before="70" w:after="0"/>
        <w:ind w:left="1500" w:right="0" w:hanging="541"/>
        <w:jc w:val="left"/>
        <w:rPr>
          <w:sz w:val="24"/>
        </w:rPr>
      </w:pPr>
      <w:r>
        <w:rPr>
          <w:sz w:val="24"/>
        </w:rPr>
        <w:t>required by the Govt. Ministries/Agencies/Court of competent</w:t>
      </w:r>
      <w:r>
        <w:rPr>
          <w:spacing w:val="-9"/>
          <w:sz w:val="24"/>
        </w:rPr>
        <w:t> </w:t>
      </w:r>
      <w:r>
        <w:rPr>
          <w:sz w:val="24"/>
        </w:rPr>
        <w:t>jurisdiction.</w:t>
      </w:r>
    </w:p>
    <w:p>
      <w:pPr>
        <w:pStyle w:val="BodyText"/>
        <w:spacing w:line="300" w:lineRule="auto" w:before="199"/>
        <w:ind w:left="780" w:right="161"/>
        <w:jc w:val="both"/>
      </w:pPr>
      <w:r>
        <w:rPr/>
        <w:t>The information exchanged herein between the parties shall be used only for the  purpose</w:t>
      </w:r>
      <w:r>
        <w:rPr>
          <w:spacing w:val="-15"/>
        </w:rPr>
        <w:t> </w:t>
      </w:r>
      <w:r>
        <w:rPr/>
        <w:t>of,</w:t>
      </w:r>
      <w:r>
        <w:rPr>
          <w:spacing w:val="-13"/>
        </w:rPr>
        <w:t> </w:t>
      </w:r>
      <w:r>
        <w:rPr/>
        <w:t>and</w:t>
      </w:r>
      <w:r>
        <w:rPr>
          <w:spacing w:val="-13"/>
        </w:rPr>
        <w:t> </w:t>
      </w:r>
      <w:r>
        <w:rPr/>
        <w:t>in</w:t>
      </w:r>
      <w:r>
        <w:rPr>
          <w:spacing w:val="-9"/>
        </w:rPr>
        <w:t> </w:t>
      </w:r>
      <w:r>
        <w:rPr/>
        <w:t>accordance</w:t>
      </w:r>
      <w:r>
        <w:rPr>
          <w:spacing w:val="-14"/>
        </w:rPr>
        <w:t> </w:t>
      </w:r>
      <w:r>
        <w:rPr/>
        <w:t>with,</w:t>
      </w:r>
      <w:r>
        <w:rPr>
          <w:spacing w:val="-11"/>
        </w:rPr>
        <w:t> </w:t>
      </w:r>
      <w:r>
        <w:rPr/>
        <w:t>this</w:t>
      </w:r>
      <w:r>
        <w:rPr>
          <w:spacing w:val="-10"/>
        </w:rPr>
        <w:t> </w:t>
      </w:r>
      <w:r>
        <w:rPr/>
        <w:t>Agreement</w:t>
      </w:r>
      <w:r>
        <w:rPr>
          <w:spacing w:val="-13"/>
        </w:rPr>
        <w:t> </w:t>
      </w:r>
      <w:r>
        <w:rPr/>
        <w:t>and</w:t>
      </w:r>
      <w:r>
        <w:rPr>
          <w:spacing w:val="-13"/>
        </w:rPr>
        <w:t> </w:t>
      </w:r>
      <w:r>
        <w:rPr/>
        <w:t>for</w:t>
      </w:r>
      <w:r>
        <w:rPr>
          <w:spacing w:val="-15"/>
        </w:rPr>
        <w:t> </w:t>
      </w:r>
      <w:r>
        <w:rPr/>
        <w:t>the</w:t>
      </w:r>
      <w:r>
        <w:rPr>
          <w:spacing w:val="-11"/>
        </w:rPr>
        <w:t> </w:t>
      </w:r>
      <w:r>
        <w:rPr/>
        <w:t>purpose</w:t>
      </w:r>
      <w:r>
        <w:rPr>
          <w:spacing w:val="-12"/>
        </w:rPr>
        <w:t> </w:t>
      </w:r>
      <w:r>
        <w:rPr/>
        <w:t>stated</w:t>
      </w:r>
      <w:r>
        <w:rPr>
          <w:spacing w:val="-13"/>
        </w:rPr>
        <w:t> </w:t>
      </w:r>
      <w:r>
        <w:rPr/>
        <w:t>herein.</w:t>
      </w:r>
      <w:r>
        <w:rPr>
          <w:spacing w:val="-13"/>
        </w:rPr>
        <w:t> </w:t>
      </w:r>
      <w:r>
        <w:rPr/>
        <w:t>This clause shall remain in force even after termination of Connection</w:t>
      </w:r>
      <w:r>
        <w:rPr>
          <w:spacing w:val="-6"/>
        </w:rPr>
        <w:t> </w:t>
      </w:r>
      <w:r>
        <w:rPr/>
        <w:t>Agreement.</w:t>
      </w:r>
    </w:p>
    <w:p>
      <w:pPr>
        <w:pStyle w:val="BodyText"/>
        <w:spacing w:before="7"/>
        <w:rPr>
          <w:sz w:val="29"/>
        </w:rPr>
      </w:pPr>
    </w:p>
    <w:p>
      <w:pPr>
        <w:pStyle w:val="Heading1"/>
        <w:numPr>
          <w:ilvl w:val="0"/>
          <w:numId w:val="7"/>
        </w:numPr>
        <w:tabs>
          <w:tab w:pos="780" w:val="left" w:leader="none"/>
          <w:tab w:pos="781" w:val="left" w:leader="none"/>
        </w:tabs>
        <w:spacing w:line="240" w:lineRule="auto" w:before="0" w:after="0"/>
        <w:ind w:left="780" w:right="0" w:hanging="541"/>
        <w:jc w:val="left"/>
      </w:pPr>
      <w:r>
        <w:rPr/>
        <w:t>Governing Laws and</w:t>
      </w:r>
      <w:r>
        <w:rPr>
          <w:spacing w:val="2"/>
        </w:rPr>
        <w:t> </w:t>
      </w:r>
      <w:r>
        <w:rPr/>
        <w:t>Jurisdiction</w:t>
      </w:r>
    </w:p>
    <w:p>
      <w:pPr>
        <w:pStyle w:val="BodyText"/>
        <w:spacing w:before="10"/>
        <w:rPr>
          <w:b/>
          <w:sz w:val="35"/>
        </w:rPr>
      </w:pPr>
    </w:p>
    <w:p>
      <w:pPr>
        <w:pStyle w:val="BodyText"/>
        <w:spacing w:before="1"/>
        <w:ind w:left="780"/>
        <w:jc w:val="both"/>
      </w:pPr>
      <w:r>
        <w:rPr/>
        <w:t>The agreement shall be governed by Indian Laws and Rules made there under.</w:t>
      </w:r>
    </w:p>
    <w:p>
      <w:pPr>
        <w:pStyle w:val="BodyText"/>
        <w:spacing w:before="5"/>
        <w:rPr>
          <w:sz w:val="26"/>
        </w:rPr>
      </w:pPr>
    </w:p>
    <w:p>
      <w:pPr>
        <w:pStyle w:val="Heading1"/>
        <w:numPr>
          <w:ilvl w:val="0"/>
          <w:numId w:val="7"/>
        </w:numPr>
        <w:tabs>
          <w:tab w:pos="780" w:val="left" w:leader="none"/>
          <w:tab w:pos="781" w:val="left" w:leader="none"/>
        </w:tabs>
        <w:spacing w:line="240" w:lineRule="auto" w:before="0" w:after="0"/>
        <w:ind w:left="780" w:right="0" w:hanging="541"/>
        <w:jc w:val="left"/>
      </w:pPr>
      <w:r>
        <w:rPr/>
        <w:t>Amendment to The Connection</w:t>
      </w:r>
      <w:r>
        <w:rPr>
          <w:spacing w:val="-3"/>
        </w:rPr>
        <w:t> </w:t>
      </w:r>
      <w:r>
        <w:rPr/>
        <w:t>Agreement</w:t>
      </w:r>
    </w:p>
    <w:p>
      <w:pPr>
        <w:pStyle w:val="BodyText"/>
        <w:spacing w:before="6"/>
        <w:rPr>
          <w:b/>
          <w:sz w:val="35"/>
        </w:rPr>
      </w:pPr>
    </w:p>
    <w:p>
      <w:pPr>
        <w:pStyle w:val="BodyText"/>
        <w:spacing w:line="300" w:lineRule="auto"/>
        <w:ind w:left="780" w:right="154"/>
        <w:jc w:val="both"/>
      </w:pPr>
      <w:r>
        <w:rPr/>
        <w:t>In case of Modification to point of connection like re-allocation of bays, upgradation of voltage level etc. by either of the parties, if mutually agreed, an amendment to the Connection Agreement shall be executed between the parties within 30 days of implementing such modification.</w:t>
      </w:r>
    </w:p>
    <w:p>
      <w:pPr>
        <w:pStyle w:val="BodyText"/>
        <w:rPr>
          <w:sz w:val="26"/>
        </w:rPr>
      </w:pPr>
    </w:p>
    <w:p>
      <w:pPr>
        <w:pStyle w:val="BodyText"/>
        <w:spacing w:line="300" w:lineRule="auto" w:before="191"/>
        <w:ind w:left="240" w:right="151"/>
        <w:jc w:val="both"/>
      </w:pPr>
      <w:r>
        <w:rPr/>
        <w:t>IN WITNESS WHEREOF the CTU and the Applicant and Inter-State transmission licensee have caused this Agreement to be executed by duly authorized representative on date above first herein written.</w:t>
      </w:r>
    </w:p>
    <w:p>
      <w:pPr>
        <w:pStyle w:val="BodyText"/>
        <w:rPr>
          <w:sz w:val="30"/>
        </w:rPr>
      </w:pPr>
    </w:p>
    <w:p>
      <w:pPr>
        <w:pStyle w:val="BodyText"/>
        <w:ind w:right="192"/>
        <w:jc w:val="right"/>
      </w:pPr>
      <w:r>
        <w:rPr/>
        <w:t>Signed for and on behalf</w:t>
      </w:r>
      <w:r>
        <w:rPr>
          <w:spacing w:val="-2"/>
        </w:rPr>
        <w:t> </w:t>
      </w:r>
      <w:r>
        <w:rPr/>
        <w:t>of:-</w:t>
      </w:r>
    </w:p>
    <w:p>
      <w:pPr>
        <w:pStyle w:val="BodyText"/>
        <w:spacing w:before="11"/>
        <w:rPr>
          <w:sz w:val="35"/>
        </w:rPr>
      </w:pPr>
    </w:p>
    <w:p>
      <w:pPr>
        <w:pStyle w:val="BodyText"/>
        <w:spacing w:line="614" w:lineRule="auto"/>
        <w:ind w:left="6503" w:right="192" w:firstLine="1404"/>
        <w:jc w:val="right"/>
      </w:pPr>
      <w:r>
        <w:rPr/>
        <w:t>[CTU</w:t>
      </w:r>
      <w:r>
        <w:rPr>
          <w:spacing w:val="6"/>
        </w:rPr>
        <w:t> </w:t>
      </w:r>
      <w:r>
        <w:rPr>
          <w:spacing w:val="-3"/>
        </w:rPr>
        <w:t>Details]</w:t>
      </w:r>
      <w:r>
        <w:rPr>
          <w:w w:val="99"/>
        </w:rPr>
        <w:t> </w:t>
      </w:r>
      <w:r>
        <w:rPr/>
        <w:t>Signed for and on behalf</w:t>
      </w:r>
      <w:r>
        <w:rPr>
          <w:spacing w:val="2"/>
        </w:rPr>
        <w:t> </w:t>
      </w:r>
      <w:r>
        <w:rPr>
          <w:spacing w:val="-4"/>
        </w:rPr>
        <w:t>of:-</w:t>
      </w:r>
    </w:p>
    <w:p>
      <w:pPr>
        <w:pStyle w:val="BodyText"/>
        <w:spacing w:line="257" w:lineRule="exact"/>
        <w:ind w:left="3949"/>
      </w:pPr>
      <w:r>
        <w:rPr/>
        <w:t>[Applicant or ISTS licensee Details as the case may</w:t>
      </w:r>
      <w:r>
        <w:rPr>
          <w:spacing w:val="-12"/>
        </w:rPr>
        <w:t> </w:t>
      </w:r>
      <w:r>
        <w:rPr/>
        <w:t>be]</w:t>
      </w:r>
    </w:p>
    <w:p>
      <w:pPr>
        <w:spacing w:after="0" w:line="257" w:lineRule="exact"/>
        <w:sectPr>
          <w:pgSz w:w="11930" w:h="16850"/>
          <w:pgMar w:header="0" w:footer="751" w:top="1600" w:bottom="940" w:left="1200" w:right="1240"/>
        </w:sectPr>
      </w:pPr>
    </w:p>
    <w:p>
      <w:pPr>
        <w:spacing w:before="62"/>
        <w:ind w:left="0" w:right="192" w:firstLine="0"/>
        <w:jc w:val="right"/>
        <w:rPr>
          <w:b/>
          <w:sz w:val="24"/>
        </w:rPr>
      </w:pPr>
      <w:r>
        <w:rPr>
          <w:b/>
          <w:sz w:val="24"/>
          <w:u w:val="thick"/>
        </w:rPr>
        <w:t>Appendix</w:t>
      </w:r>
    </w:p>
    <w:p>
      <w:pPr>
        <w:pStyle w:val="BodyText"/>
        <w:spacing w:before="6"/>
        <w:rPr>
          <w:b/>
          <w:sz w:val="29"/>
        </w:rPr>
      </w:pPr>
    </w:p>
    <w:p>
      <w:pPr>
        <w:pStyle w:val="BodyText"/>
        <w:spacing w:line="276" w:lineRule="auto" w:before="90"/>
        <w:ind w:left="101" w:right="204"/>
      </w:pPr>
      <w:r>
        <w:rPr/>
        <w:t>Time schedule for completion of works of generator/bulk consumer, including the timelines for the various milestones to be reached for completion of works (PERT chart).</w:t>
      </w:r>
    </w:p>
    <w:sectPr>
      <w:pgSz w:w="11930" w:h="16850"/>
      <w:pgMar w:header="0" w:footer="751" w:top="1480" w:bottom="940" w:left="120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852032" from="70.599998pt,790.799988pt" to="524.949998pt,790.799988pt" stroked="true" strokeweight=".58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60.529999pt;margin-top:791.106628pt;width:56.3pt;height:15.3pt;mso-position-horizontal-relative:page;mso-position-vertical-relative:page;z-index:-15851520"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0"/>
      <w:numFmt w:val="decimal"/>
      <w:lvlText w:val="%1"/>
      <w:lvlJc w:val="left"/>
      <w:pPr>
        <w:ind w:left="780" w:hanging="540"/>
        <w:jc w:val="left"/>
      </w:pPr>
      <w:rPr>
        <w:rFonts w:hint="default" w:ascii="Times New Roman" w:hAnsi="Times New Roman" w:eastAsia="Times New Roman" w:cs="Times New Roman"/>
        <w:b/>
        <w:bCs/>
        <w:spacing w:val="-3"/>
        <w:w w:val="99"/>
        <w:sz w:val="24"/>
        <w:szCs w:val="24"/>
        <w:lang w:val="en-US" w:eastAsia="en-US" w:bidi="ar-SA"/>
      </w:rPr>
    </w:lvl>
    <w:lvl w:ilvl="1">
      <w:start w:val="1"/>
      <w:numFmt w:val="lowerLetter"/>
      <w:lvlText w:val="%2)"/>
      <w:lvlJc w:val="left"/>
      <w:pPr>
        <w:ind w:left="1500" w:hanging="540"/>
        <w:jc w:val="left"/>
      </w:pPr>
      <w:rPr>
        <w:rFonts w:hint="default" w:ascii="Times New Roman" w:hAnsi="Times New Roman" w:eastAsia="Times New Roman" w:cs="Times New Roman"/>
        <w:spacing w:val="-2"/>
        <w:w w:val="100"/>
        <w:sz w:val="24"/>
        <w:szCs w:val="24"/>
        <w:lang w:val="en-US" w:eastAsia="en-US" w:bidi="ar-SA"/>
      </w:rPr>
    </w:lvl>
    <w:lvl w:ilvl="2">
      <w:start w:val="0"/>
      <w:numFmt w:val="bullet"/>
      <w:lvlText w:val="•"/>
      <w:lvlJc w:val="left"/>
      <w:pPr>
        <w:ind w:left="2386" w:hanging="540"/>
      </w:pPr>
      <w:rPr>
        <w:rFonts w:hint="default"/>
        <w:lang w:val="en-US" w:eastAsia="en-US" w:bidi="ar-SA"/>
      </w:rPr>
    </w:lvl>
    <w:lvl w:ilvl="3">
      <w:start w:val="0"/>
      <w:numFmt w:val="bullet"/>
      <w:lvlText w:val="•"/>
      <w:lvlJc w:val="left"/>
      <w:pPr>
        <w:ind w:left="3273" w:hanging="540"/>
      </w:pPr>
      <w:rPr>
        <w:rFonts w:hint="default"/>
        <w:lang w:val="en-US" w:eastAsia="en-US" w:bidi="ar-SA"/>
      </w:rPr>
    </w:lvl>
    <w:lvl w:ilvl="4">
      <w:start w:val="0"/>
      <w:numFmt w:val="bullet"/>
      <w:lvlText w:val="•"/>
      <w:lvlJc w:val="left"/>
      <w:pPr>
        <w:ind w:left="4160" w:hanging="540"/>
      </w:pPr>
      <w:rPr>
        <w:rFonts w:hint="default"/>
        <w:lang w:val="en-US" w:eastAsia="en-US" w:bidi="ar-SA"/>
      </w:rPr>
    </w:lvl>
    <w:lvl w:ilvl="5">
      <w:start w:val="0"/>
      <w:numFmt w:val="bullet"/>
      <w:lvlText w:val="•"/>
      <w:lvlJc w:val="left"/>
      <w:pPr>
        <w:ind w:left="5047" w:hanging="540"/>
      </w:pPr>
      <w:rPr>
        <w:rFonts w:hint="default"/>
        <w:lang w:val="en-US" w:eastAsia="en-US" w:bidi="ar-SA"/>
      </w:rPr>
    </w:lvl>
    <w:lvl w:ilvl="6">
      <w:start w:val="0"/>
      <w:numFmt w:val="bullet"/>
      <w:lvlText w:val="•"/>
      <w:lvlJc w:val="left"/>
      <w:pPr>
        <w:ind w:left="5933" w:hanging="540"/>
      </w:pPr>
      <w:rPr>
        <w:rFonts w:hint="default"/>
        <w:lang w:val="en-US" w:eastAsia="en-US" w:bidi="ar-SA"/>
      </w:rPr>
    </w:lvl>
    <w:lvl w:ilvl="7">
      <w:start w:val="0"/>
      <w:numFmt w:val="bullet"/>
      <w:lvlText w:val="•"/>
      <w:lvlJc w:val="left"/>
      <w:pPr>
        <w:ind w:left="6820" w:hanging="540"/>
      </w:pPr>
      <w:rPr>
        <w:rFonts w:hint="default"/>
        <w:lang w:val="en-US" w:eastAsia="en-US" w:bidi="ar-SA"/>
      </w:rPr>
    </w:lvl>
    <w:lvl w:ilvl="8">
      <w:start w:val="0"/>
      <w:numFmt w:val="bullet"/>
      <w:lvlText w:val="•"/>
      <w:lvlJc w:val="left"/>
      <w:pPr>
        <w:ind w:left="7707" w:hanging="540"/>
      </w:pPr>
      <w:rPr>
        <w:rFonts w:hint="default"/>
        <w:lang w:val="en-US" w:eastAsia="en-US" w:bidi="ar-SA"/>
      </w:rPr>
    </w:lvl>
  </w:abstractNum>
  <w:abstractNum w:abstractNumId="5">
    <w:multiLevelType w:val="hybridMultilevel"/>
    <w:lvl w:ilvl="0">
      <w:start w:val="6"/>
      <w:numFmt w:val="decimal"/>
      <w:lvlText w:val="%1."/>
      <w:lvlJc w:val="left"/>
      <w:pPr>
        <w:ind w:left="780" w:hanging="540"/>
        <w:jc w:val="left"/>
      </w:pPr>
      <w:rPr>
        <w:rFonts w:hint="default" w:ascii="Times New Roman" w:hAnsi="Times New Roman" w:eastAsia="Times New Roman" w:cs="Times New Roman"/>
        <w:b/>
        <w:bCs/>
        <w:spacing w:val="-4"/>
        <w:w w:val="99"/>
        <w:sz w:val="24"/>
        <w:szCs w:val="24"/>
        <w:lang w:val="en-US" w:eastAsia="en-US" w:bidi="ar-SA"/>
      </w:rPr>
    </w:lvl>
    <w:lvl w:ilvl="1">
      <w:start w:val="0"/>
      <w:numFmt w:val="bullet"/>
      <w:lvlText w:val="•"/>
      <w:lvlJc w:val="left"/>
      <w:pPr>
        <w:ind w:left="1650" w:hanging="540"/>
      </w:pPr>
      <w:rPr>
        <w:rFonts w:hint="default"/>
        <w:lang w:val="en-US" w:eastAsia="en-US" w:bidi="ar-SA"/>
      </w:rPr>
    </w:lvl>
    <w:lvl w:ilvl="2">
      <w:start w:val="0"/>
      <w:numFmt w:val="bullet"/>
      <w:lvlText w:val="•"/>
      <w:lvlJc w:val="left"/>
      <w:pPr>
        <w:ind w:left="2520" w:hanging="540"/>
      </w:pPr>
      <w:rPr>
        <w:rFonts w:hint="default"/>
        <w:lang w:val="en-US" w:eastAsia="en-US" w:bidi="ar-SA"/>
      </w:rPr>
    </w:lvl>
    <w:lvl w:ilvl="3">
      <w:start w:val="0"/>
      <w:numFmt w:val="bullet"/>
      <w:lvlText w:val="•"/>
      <w:lvlJc w:val="left"/>
      <w:pPr>
        <w:ind w:left="3390" w:hanging="540"/>
      </w:pPr>
      <w:rPr>
        <w:rFonts w:hint="default"/>
        <w:lang w:val="en-US" w:eastAsia="en-US" w:bidi="ar-SA"/>
      </w:rPr>
    </w:lvl>
    <w:lvl w:ilvl="4">
      <w:start w:val="0"/>
      <w:numFmt w:val="bullet"/>
      <w:lvlText w:val="•"/>
      <w:lvlJc w:val="left"/>
      <w:pPr>
        <w:ind w:left="4260"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6000" w:hanging="540"/>
      </w:pPr>
      <w:rPr>
        <w:rFonts w:hint="default"/>
        <w:lang w:val="en-US" w:eastAsia="en-US" w:bidi="ar-SA"/>
      </w:rPr>
    </w:lvl>
    <w:lvl w:ilvl="7">
      <w:start w:val="0"/>
      <w:numFmt w:val="bullet"/>
      <w:lvlText w:val="•"/>
      <w:lvlJc w:val="left"/>
      <w:pPr>
        <w:ind w:left="6870" w:hanging="540"/>
      </w:pPr>
      <w:rPr>
        <w:rFonts w:hint="default"/>
        <w:lang w:val="en-US" w:eastAsia="en-US" w:bidi="ar-SA"/>
      </w:rPr>
    </w:lvl>
    <w:lvl w:ilvl="8">
      <w:start w:val="0"/>
      <w:numFmt w:val="bullet"/>
      <w:lvlText w:val="•"/>
      <w:lvlJc w:val="left"/>
      <w:pPr>
        <w:ind w:left="7740" w:hanging="540"/>
      </w:pPr>
      <w:rPr>
        <w:rFonts w:hint="default"/>
        <w:lang w:val="en-US" w:eastAsia="en-US" w:bidi="ar-SA"/>
      </w:rPr>
    </w:lvl>
  </w:abstractNum>
  <w:abstractNum w:abstractNumId="4">
    <w:multiLevelType w:val="hybridMultilevel"/>
    <w:lvl w:ilvl="0">
      <w:start w:val="5"/>
      <w:numFmt w:val="decimal"/>
      <w:lvlText w:val="%1"/>
      <w:lvlJc w:val="left"/>
      <w:pPr>
        <w:ind w:left="780" w:hanging="540"/>
        <w:jc w:val="left"/>
      </w:pPr>
      <w:rPr>
        <w:rFonts w:hint="default"/>
        <w:lang w:val="en-US" w:eastAsia="en-US" w:bidi="ar-SA"/>
      </w:rPr>
    </w:lvl>
    <w:lvl w:ilvl="1">
      <w:start w:val="1"/>
      <w:numFmt w:val="decimal"/>
      <w:lvlText w:val="%1.%2"/>
      <w:lvlJc w:val="left"/>
      <w:pPr>
        <w:ind w:left="780" w:hanging="540"/>
        <w:jc w:val="left"/>
      </w:pPr>
      <w:rPr>
        <w:rFonts w:hint="default" w:ascii="Times New Roman" w:hAnsi="Times New Roman" w:eastAsia="Times New Roman" w:cs="Times New Roman"/>
        <w:b/>
        <w:bCs/>
        <w:spacing w:val="-2"/>
        <w:w w:val="99"/>
        <w:sz w:val="24"/>
        <w:szCs w:val="24"/>
        <w:lang w:val="en-US" w:eastAsia="en-US" w:bidi="ar-SA"/>
      </w:rPr>
    </w:lvl>
    <w:lvl w:ilvl="2">
      <w:start w:val="0"/>
      <w:numFmt w:val="bullet"/>
      <w:lvlText w:val="•"/>
      <w:lvlJc w:val="left"/>
      <w:pPr>
        <w:ind w:left="2520" w:hanging="540"/>
      </w:pPr>
      <w:rPr>
        <w:rFonts w:hint="default"/>
        <w:lang w:val="en-US" w:eastAsia="en-US" w:bidi="ar-SA"/>
      </w:rPr>
    </w:lvl>
    <w:lvl w:ilvl="3">
      <w:start w:val="0"/>
      <w:numFmt w:val="bullet"/>
      <w:lvlText w:val="•"/>
      <w:lvlJc w:val="left"/>
      <w:pPr>
        <w:ind w:left="3390" w:hanging="540"/>
      </w:pPr>
      <w:rPr>
        <w:rFonts w:hint="default"/>
        <w:lang w:val="en-US" w:eastAsia="en-US" w:bidi="ar-SA"/>
      </w:rPr>
    </w:lvl>
    <w:lvl w:ilvl="4">
      <w:start w:val="0"/>
      <w:numFmt w:val="bullet"/>
      <w:lvlText w:val="•"/>
      <w:lvlJc w:val="left"/>
      <w:pPr>
        <w:ind w:left="4260"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6000" w:hanging="540"/>
      </w:pPr>
      <w:rPr>
        <w:rFonts w:hint="default"/>
        <w:lang w:val="en-US" w:eastAsia="en-US" w:bidi="ar-SA"/>
      </w:rPr>
    </w:lvl>
    <w:lvl w:ilvl="7">
      <w:start w:val="0"/>
      <w:numFmt w:val="bullet"/>
      <w:lvlText w:val="•"/>
      <w:lvlJc w:val="left"/>
      <w:pPr>
        <w:ind w:left="6870" w:hanging="540"/>
      </w:pPr>
      <w:rPr>
        <w:rFonts w:hint="default"/>
        <w:lang w:val="en-US" w:eastAsia="en-US" w:bidi="ar-SA"/>
      </w:rPr>
    </w:lvl>
    <w:lvl w:ilvl="8">
      <w:start w:val="0"/>
      <w:numFmt w:val="bullet"/>
      <w:lvlText w:val="•"/>
      <w:lvlJc w:val="left"/>
      <w:pPr>
        <w:ind w:left="7740" w:hanging="540"/>
      </w:pPr>
      <w:rPr>
        <w:rFonts w:hint="default"/>
        <w:lang w:val="en-US" w:eastAsia="en-US" w:bidi="ar-SA"/>
      </w:rPr>
    </w:lvl>
  </w:abstractNum>
  <w:abstractNum w:abstractNumId="3">
    <w:multiLevelType w:val="hybridMultilevel"/>
    <w:lvl w:ilvl="0">
      <w:start w:val="3"/>
      <w:numFmt w:val="decimal"/>
      <w:lvlText w:val="%1."/>
      <w:lvlJc w:val="left"/>
      <w:pPr>
        <w:ind w:left="780" w:hanging="540"/>
        <w:jc w:val="left"/>
      </w:pPr>
      <w:rPr>
        <w:rFonts w:hint="default" w:ascii="Times New Roman" w:hAnsi="Times New Roman" w:eastAsia="Times New Roman" w:cs="Times New Roman"/>
        <w:b/>
        <w:bCs/>
        <w:spacing w:val="-3"/>
        <w:w w:val="99"/>
        <w:sz w:val="24"/>
        <w:szCs w:val="24"/>
        <w:lang w:val="en-US" w:eastAsia="en-US" w:bidi="ar-SA"/>
      </w:rPr>
    </w:lvl>
    <w:lvl w:ilvl="1">
      <w:start w:val="1"/>
      <w:numFmt w:val="lowerLetter"/>
      <w:lvlText w:val="(%2)"/>
      <w:lvlJc w:val="left"/>
      <w:pPr>
        <w:ind w:left="1140" w:hanging="360"/>
        <w:jc w:val="left"/>
      </w:pPr>
      <w:rPr>
        <w:rFonts w:hint="default" w:ascii="Times New Roman" w:hAnsi="Times New Roman" w:eastAsia="Times New Roman" w:cs="Times New Roman"/>
        <w:spacing w:val="-25"/>
        <w:w w:val="99"/>
        <w:sz w:val="24"/>
        <w:szCs w:val="24"/>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993" w:hanging="360"/>
      </w:pPr>
      <w:rPr>
        <w:rFonts w:hint="default"/>
        <w:lang w:val="en-US" w:eastAsia="en-US" w:bidi="ar-SA"/>
      </w:rPr>
    </w:lvl>
    <w:lvl w:ilvl="4">
      <w:start w:val="0"/>
      <w:numFmt w:val="bullet"/>
      <w:lvlText w:val="•"/>
      <w:lvlJc w:val="left"/>
      <w:pPr>
        <w:ind w:left="3920" w:hanging="360"/>
      </w:pPr>
      <w:rPr>
        <w:rFonts w:hint="default"/>
        <w:lang w:val="en-US" w:eastAsia="en-US" w:bidi="ar-SA"/>
      </w:rPr>
    </w:lvl>
    <w:lvl w:ilvl="5">
      <w:start w:val="0"/>
      <w:numFmt w:val="bullet"/>
      <w:lvlText w:val="•"/>
      <w:lvlJc w:val="left"/>
      <w:pPr>
        <w:ind w:left="4847" w:hanging="360"/>
      </w:pPr>
      <w:rPr>
        <w:rFonts w:hint="default"/>
        <w:lang w:val="en-US" w:eastAsia="en-US" w:bidi="ar-SA"/>
      </w:rPr>
    </w:lvl>
    <w:lvl w:ilvl="6">
      <w:start w:val="0"/>
      <w:numFmt w:val="bullet"/>
      <w:lvlText w:val="•"/>
      <w:lvlJc w:val="left"/>
      <w:pPr>
        <w:ind w:left="5773" w:hanging="360"/>
      </w:pPr>
      <w:rPr>
        <w:rFonts w:hint="default"/>
        <w:lang w:val="en-US" w:eastAsia="en-US" w:bidi="ar-SA"/>
      </w:rPr>
    </w:lvl>
    <w:lvl w:ilvl="7">
      <w:start w:val="0"/>
      <w:numFmt w:val="bullet"/>
      <w:lvlText w:val="•"/>
      <w:lvlJc w:val="left"/>
      <w:pPr>
        <w:ind w:left="6700" w:hanging="360"/>
      </w:pPr>
      <w:rPr>
        <w:rFonts w:hint="default"/>
        <w:lang w:val="en-US" w:eastAsia="en-US" w:bidi="ar-SA"/>
      </w:rPr>
    </w:lvl>
    <w:lvl w:ilvl="8">
      <w:start w:val="0"/>
      <w:numFmt w:val="bullet"/>
      <w:lvlText w:val="•"/>
      <w:lvlJc w:val="left"/>
      <w:pPr>
        <w:ind w:left="7627" w:hanging="360"/>
      </w:pPr>
      <w:rPr>
        <w:rFonts w:hint="default"/>
        <w:lang w:val="en-US" w:eastAsia="en-US" w:bidi="ar-SA"/>
      </w:rPr>
    </w:lvl>
  </w:abstractNum>
  <w:abstractNum w:abstractNumId="2">
    <w:multiLevelType w:val="hybridMultilevel"/>
    <w:lvl w:ilvl="0">
      <w:start w:val="2"/>
      <w:numFmt w:val="decimal"/>
      <w:lvlText w:val="%1"/>
      <w:lvlJc w:val="left"/>
      <w:pPr>
        <w:ind w:left="780" w:hanging="540"/>
        <w:jc w:val="left"/>
      </w:pPr>
      <w:rPr>
        <w:rFonts w:hint="default" w:ascii="Times New Roman" w:hAnsi="Times New Roman" w:eastAsia="Times New Roman" w:cs="Times New Roman"/>
        <w:b/>
        <w:bCs/>
        <w:spacing w:val="-3"/>
        <w:w w:val="99"/>
        <w:sz w:val="24"/>
        <w:szCs w:val="24"/>
        <w:lang w:val="en-US" w:eastAsia="en-US" w:bidi="ar-SA"/>
      </w:rPr>
    </w:lvl>
    <w:lvl w:ilvl="1">
      <w:start w:val="1"/>
      <w:numFmt w:val="decimal"/>
      <w:lvlText w:val="%1.%2"/>
      <w:lvlJc w:val="left"/>
      <w:pPr>
        <w:ind w:left="780" w:hanging="540"/>
        <w:jc w:val="left"/>
      </w:pPr>
      <w:rPr>
        <w:rFonts w:hint="default" w:ascii="Times New Roman" w:hAnsi="Times New Roman" w:eastAsia="Times New Roman" w:cs="Times New Roman"/>
        <w:b/>
        <w:bCs/>
        <w:spacing w:val="-4"/>
        <w:w w:val="99"/>
        <w:sz w:val="24"/>
        <w:szCs w:val="24"/>
        <w:lang w:val="en-US" w:eastAsia="en-US" w:bidi="ar-SA"/>
      </w:rPr>
    </w:lvl>
    <w:lvl w:ilvl="2">
      <w:start w:val="0"/>
      <w:numFmt w:val="bullet"/>
      <w:lvlText w:val="•"/>
      <w:lvlJc w:val="left"/>
      <w:pPr>
        <w:ind w:left="2520" w:hanging="540"/>
      </w:pPr>
      <w:rPr>
        <w:rFonts w:hint="default"/>
        <w:lang w:val="en-US" w:eastAsia="en-US" w:bidi="ar-SA"/>
      </w:rPr>
    </w:lvl>
    <w:lvl w:ilvl="3">
      <w:start w:val="0"/>
      <w:numFmt w:val="bullet"/>
      <w:lvlText w:val="•"/>
      <w:lvlJc w:val="left"/>
      <w:pPr>
        <w:ind w:left="3390" w:hanging="540"/>
      </w:pPr>
      <w:rPr>
        <w:rFonts w:hint="default"/>
        <w:lang w:val="en-US" w:eastAsia="en-US" w:bidi="ar-SA"/>
      </w:rPr>
    </w:lvl>
    <w:lvl w:ilvl="4">
      <w:start w:val="0"/>
      <w:numFmt w:val="bullet"/>
      <w:lvlText w:val="•"/>
      <w:lvlJc w:val="left"/>
      <w:pPr>
        <w:ind w:left="4260" w:hanging="540"/>
      </w:pPr>
      <w:rPr>
        <w:rFonts w:hint="default"/>
        <w:lang w:val="en-US" w:eastAsia="en-US" w:bidi="ar-SA"/>
      </w:rPr>
    </w:lvl>
    <w:lvl w:ilvl="5">
      <w:start w:val="0"/>
      <w:numFmt w:val="bullet"/>
      <w:lvlText w:val="•"/>
      <w:lvlJc w:val="left"/>
      <w:pPr>
        <w:ind w:left="5130" w:hanging="540"/>
      </w:pPr>
      <w:rPr>
        <w:rFonts w:hint="default"/>
        <w:lang w:val="en-US" w:eastAsia="en-US" w:bidi="ar-SA"/>
      </w:rPr>
    </w:lvl>
    <w:lvl w:ilvl="6">
      <w:start w:val="0"/>
      <w:numFmt w:val="bullet"/>
      <w:lvlText w:val="•"/>
      <w:lvlJc w:val="left"/>
      <w:pPr>
        <w:ind w:left="6000" w:hanging="540"/>
      </w:pPr>
      <w:rPr>
        <w:rFonts w:hint="default"/>
        <w:lang w:val="en-US" w:eastAsia="en-US" w:bidi="ar-SA"/>
      </w:rPr>
    </w:lvl>
    <w:lvl w:ilvl="7">
      <w:start w:val="0"/>
      <w:numFmt w:val="bullet"/>
      <w:lvlText w:val="•"/>
      <w:lvlJc w:val="left"/>
      <w:pPr>
        <w:ind w:left="6870" w:hanging="540"/>
      </w:pPr>
      <w:rPr>
        <w:rFonts w:hint="default"/>
        <w:lang w:val="en-US" w:eastAsia="en-US" w:bidi="ar-SA"/>
      </w:rPr>
    </w:lvl>
    <w:lvl w:ilvl="8">
      <w:start w:val="0"/>
      <w:numFmt w:val="bullet"/>
      <w:lvlText w:val="•"/>
      <w:lvlJc w:val="left"/>
      <w:pPr>
        <w:ind w:left="7740" w:hanging="540"/>
      </w:pPr>
      <w:rPr>
        <w:rFonts w:hint="default"/>
        <w:lang w:val="en-US" w:eastAsia="en-US" w:bidi="ar-SA"/>
      </w:rPr>
    </w:lvl>
  </w:abstractNum>
  <w:abstractNum w:abstractNumId="1">
    <w:multiLevelType w:val="hybridMultilevel"/>
    <w:lvl w:ilvl="0">
      <w:start w:val="1"/>
      <w:numFmt w:val="decimal"/>
      <w:lvlText w:val="%1."/>
      <w:lvlJc w:val="left"/>
      <w:pPr>
        <w:ind w:left="672" w:hanging="432"/>
        <w:jc w:val="left"/>
      </w:pPr>
      <w:rPr>
        <w:rFonts w:hint="default" w:ascii="Times New Roman" w:hAnsi="Times New Roman" w:eastAsia="Times New Roman" w:cs="Times New Roman"/>
        <w:b/>
        <w:bCs/>
        <w:spacing w:val="-4"/>
        <w:w w:val="99"/>
        <w:sz w:val="24"/>
        <w:szCs w:val="24"/>
        <w:lang w:val="en-US" w:eastAsia="en-US" w:bidi="ar-SA"/>
      </w:rPr>
    </w:lvl>
    <w:lvl w:ilvl="1">
      <w:start w:val="1"/>
      <w:numFmt w:val="decimal"/>
      <w:lvlText w:val="%1.%2"/>
      <w:lvlJc w:val="left"/>
      <w:pPr>
        <w:ind w:left="780" w:hanging="540"/>
        <w:jc w:val="left"/>
      </w:pPr>
      <w:rPr>
        <w:rFonts w:hint="default"/>
        <w:spacing w:val="-4"/>
        <w:w w:val="99"/>
        <w:lang w:val="en-US" w:eastAsia="en-US" w:bidi="ar-SA"/>
      </w:rPr>
    </w:lvl>
    <w:lvl w:ilvl="2">
      <w:start w:val="1"/>
      <w:numFmt w:val="lowerLetter"/>
      <w:lvlText w:val="(%3)"/>
      <w:lvlJc w:val="left"/>
      <w:pPr>
        <w:ind w:left="1320" w:hanging="531"/>
        <w:jc w:val="right"/>
      </w:pPr>
      <w:rPr>
        <w:rFonts w:hint="default" w:ascii="Times New Roman" w:hAnsi="Times New Roman" w:eastAsia="Times New Roman" w:cs="Times New Roman"/>
        <w:spacing w:val="-27"/>
        <w:w w:val="99"/>
        <w:sz w:val="24"/>
        <w:szCs w:val="24"/>
        <w:lang w:val="en-US" w:eastAsia="en-US" w:bidi="ar-SA"/>
      </w:rPr>
    </w:lvl>
    <w:lvl w:ilvl="3">
      <w:start w:val="0"/>
      <w:numFmt w:val="bullet"/>
      <w:lvlText w:val="•"/>
      <w:lvlJc w:val="left"/>
      <w:pPr>
        <w:ind w:left="1500" w:hanging="531"/>
      </w:pPr>
      <w:rPr>
        <w:rFonts w:hint="default"/>
        <w:lang w:val="en-US" w:eastAsia="en-US" w:bidi="ar-SA"/>
      </w:rPr>
    </w:lvl>
    <w:lvl w:ilvl="4">
      <w:start w:val="0"/>
      <w:numFmt w:val="bullet"/>
      <w:lvlText w:val="•"/>
      <w:lvlJc w:val="left"/>
      <w:pPr>
        <w:ind w:left="2640" w:hanging="531"/>
      </w:pPr>
      <w:rPr>
        <w:rFonts w:hint="default"/>
        <w:lang w:val="en-US" w:eastAsia="en-US" w:bidi="ar-SA"/>
      </w:rPr>
    </w:lvl>
    <w:lvl w:ilvl="5">
      <w:start w:val="0"/>
      <w:numFmt w:val="bullet"/>
      <w:lvlText w:val="•"/>
      <w:lvlJc w:val="left"/>
      <w:pPr>
        <w:ind w:left="3780" w:hanging="531"/>
      </w:pPr>
      <w:rPr>
        <w:rFonts w:hint="default"/>
        <w:lang w:val="en-US" w:eastAsia="en-US" w:bidi="ar-SA"/>
      </w:rPr>
    </w:lvl>
    <w:lvl w:ilvl="6">
      <w:start w:val="0"/>
      <w:numFmt w:val="bullet"/>
      <w:lvlText w:val="•"/>
      <w:lvlJc w:val="left"/>
      <w:pPr>
        <w:ind w:left="4920" w:hanging="531"/>
      </w:pPr>
      <w:rPr>
        <w:rFonts w:hint="default"/>
        <w:lang w:val="en-US" w:eastAsia="en-US" w:bidi="ar-SA"/>
      </w:rPr>
    </w:lvl>
    <w:lvl w:ilvl="7">
      <w:start w:val="0"/>
      <w:numFmt w:val="bullet"/>
      <w:lvlText w:val="•"/>
      <w:lvlJc w:val="left"/>
      <w:pPr>
        <w:ind w:left="6060" w:hanging="531"/>
      </w:pPr>
      <w:rPr>
        <w:rFonts w:hint="default"/>
        <w:lang w:val="en-US" w:eastAsia="en-US" w:bidi="ar-SA"/>
      </w:rPr>
    </w:lvl>
    <w:lvl w:ilvl="8">
      <w:start w:val="0"/>
      <w:numFmt w:val="bullet"/>
      <w:lvlText w:val="•"/>
      <w:lvlJc w:val="left"/>
      <w:pPr>
        <w:ind w:left="7200" w:hanging="531"/>
      </w:pPr>
      <w:rPr>
        <w:rFonts w:hint="default"/>
        <w:lang w:val="en-US" w:eastAsia="en-US" w:bidi="ar-SA"/>
      </w:rPr>
    </w:lvl>
  </w:abstractNum>
  <w:abstractNum w:abstractNumId="0">
    <w:multiLevelType w:val="hybridMultilevel"/>
    <w:lvl w:ilvl="0">
      <w:start w:val="1"/>
      <w:numFmt w:val="upperLetter"/>
      <w:lvlText w:val="(%1)"/>
      <w:lvlJc w:val="left"/>
      <w:pPr>
        <w:ind w:left="780" w:hanging="548"/>
        <w:jc w:val="left"/>
      </w:pPr>
      <w:rPr>
        <w:rFonts w:hint="default" w:ascii="Times New Roman" w:hAnsi="Times New Roman" w:eastAsia="Times New Roman" w:cs="Times New Roman"/>
        <w:spacing w:val="-29"/>
        <w:w w:val="99"/>
        <w:sz w:val="24"/>
        <w:szCs w:val="24"/>
        <w:lang w:val="en-US" w:eastAsia="en-US" w:bidi="ar-SA"/>
      </w:rPr>
    </w:lvl>
    <w:lvl w:ilvl="1">
      <w:start w:val="0"/>
      <w:numFmt w:val="bullet"/>
      <w:lvlText w:val="•"/>
      <w:lvlJc w:val="left"/>
      <w:pPr>
        <w:ind w:left="1650" w:hanging="548"/>
      </w:pPr>
      <w:rPr>
        <w:rFonts w:hint="default"/>
        <w:lang w:val="en-US" w:eastAsia="en-US" w:bidi="ar-SA"/>
      </w:rPr>
    </w:lvl>
    <w:lvl w:ilvl="2">
      <w:start w:val="0"/>
      <w:numFmt w:val="bullet"/>
      <w:lvlText w:val="•"/>
      <w:lvlJc w:val="left"/>
      <w:pPr>
        <w:ind w:left="2520" w:hanging="548"/>
      </w:pPr>
      <w:rPr>
        <w:rFonts w:hint="default"/>
        <w:lang w:val="en-US" w:eastAsia="en-US" w:bidi="ar-SA"/>
      </w:rPr>
    </w:lvl>
    <w:lvl w:ilvl="3">
      <w:start w:val="0"/>
      <w:numFmt w:val="bullet"/>
      <w:lvlText w:val="•"/>
      <w:lvlJc w:val="left"/>
      <w:pPr>
        <w:ind w:left="3390" w:hanging="548"/>
      </w:pPr>
      <w:rPr>
        <w:rFonts w:hint="default"/>
        <w:lang w:val="en-US" w:eastAsia="en-US" w:bidi="ar-SA"/>
      </w:rPr>
    </w:lvl>
    <w:lvl w:ilvl="4">
      <w:start w:val="0"/>
      <w:numFmt w:val="bullet"/>
      <w:lvlText w:val="•"/>
      <w:lvlJc w:val="left"/>
      <w:pPr>
        <w:ind w:left="4260" w:hanging="548"/>
      </w:pPr>
      <w:rPr>
        <w:rFonts w:hint="default"/>
        <w:lang w:val="en-US" w:eastAsia="en-US" w:bidi="ar-SA"/>
      </w:rPr>
    </w:lvl>
    <w:lvl w:ilvl="5">
      <w:start w:val="0"/>
      <w:numFmt w:val="bullet"/>
      <w:lvlText w:val="•"/>
      <w:lvlJc w:val="left"/>
      <w:pPr>
        <w:ind w:left="5130" w:hanging="548"/>
      </w:pPr>
      <w:rPr>
        <w:rFonts w:hint="default"/>
        <w:lang w:val="en-US" w:eastAsia="en-US" w:bidi="ar-SA"/>
      </w:rPr>
    </w:lvl>
    <w:lvl w:ilvl="6">
      <w:start w:val="0"/>
      <w:numFmt w:val="bullet"/>
      <w:lvlText w:val="•"/>
      <w:lvlJc w:val="left"/>
      <w:pPr>
        <w:ind w:left="6000" w:hanging="548"/>
      </w:pPr>
      <w:rPr>
        <w:rFonts w:hint="default"/>
        <w:lang w:val="en-US" w:eastAsia="en-US" w:bidi="ar-SA"/>
      </w:rPr>
    </w:lvl>
    <w:lvl w:ilvl="7">
      <w:start w:val="0"/>
      <w:numFmt w:val="bullet"/>
      <w:lvlText w:val="•"/>
      <w:lvlJc w:val="left"/>
      <w:pPr>
        <w:ind w:left="6870" w:hanging="548"/>
      </w:pPr>
      <w:rPr>
        <w:rFonts w:hint="default"/>
        <w:lang w:val="en-US" w:eastAsia="en-US" w:bidi="ar-SA"/>
      </w:rPr>
    </w:lvl>
    <w:lvl w:ilvl="8">
      <w:start w:val="0"/>
      <w:numFmt w:val="bullet"/>
      <w:lvlText w:val="•"/>
      <w:lvlJc w:val="left"/>
      <w:pPr>
        <w:ind w:left="7740" w:hanging="548"/>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80" w:hanging="54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80" w:hanging="54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Verma {राजेश वर्मा}</dc:creator>
  <dcterms:created xsi:type="dcterms:W3CDTF">2022-02-25T09:10:51Z</dcterms:created>
  <dcterms:modified xsi:type="dcterms:W3CDTF">2022-02-25T09:10:51Z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for Microsoft 365</vt:lpwstr>
  </property>
  <property fmtid="{D5CDD505-2E9C-101B-9397-08002B2CF9AE}" pid="4" name="LastSaved">
    <vt:filetime>2022-02-25T00:00:00Z</vt:filetime>
  </property>
</Properties>
</file>