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24EB0" w14:textId="77777777" w:rsidR="009A63A5" w:rsidRDefault="009A63A5" w:rsidP="00A464E9">
      <w:pPr>
        <w:jc w:val="both"/>
        <w:rPr>
          <w:rFonts w:ascii="Times New Roman" w:eastAsia="Calibri" w:hAnsi="Times New Roman" w:cs="Times New Roman"/>
        </w:rPr>
      </w:pPr>
    </w:p>
    <w:p w14:paraId="6CBE8390" w14:textId="50E0D7CB" w:rsidR="009A63A5" w:rsidRPr="009A63A5" w:rsidRDefault="009A7FB7" w:rsidP="009A63A5">
      <w:pPr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9A63A5">
        <w:rPr>
          <w:rFonts w:ascii="Times New Roman" w:eastAsia="Calibri" w:hAnsi="Times New Roman" w:cs="Times New Roman"/>
          <w:b/>
          <w:bCs/>
          <w:u w:val="single"/>
        </w:rPr>
        <w:t xml:space="preserve">Advisory on </w:t>
      </w:r>
      <w:r w:rsidR="009A63A5" w:rsidRPr="009A63A5">
        <w:rPr>
          <w:rFonts w:ascii="Times New Roman" w:hAnsi="Times New Roman" w:cs="Times New Roman"/>
          <w:b/>
          <w:bCs/>
          <w:u w:val="single"/>
        </w:rPr>
        <w:t xml:space="preserve">termination of transmission lines (including Dedicated Transmission Lines) </w:t>
      </w:r>
      <w:r w:rsidR="00817B3C" w:rsidRPr="009A63A5">
        <w:rPr>
          <w:rFonts w:ascii="Times New Roman" w:eastAsia="Calibri" w:hAnsi="Times New Roman" w:cs="Times New Roman"/>
          <w:b/>
          <w:bCs/>
          <w:u w:val="single"/>
        </w:rPr>
        <w:t>and Terminal Bay(</w:t>
      </w:r>
      <w:r w:rsidR="009A63A5" w:rsidRPr="009A63A5">
        <w:rPr>
          <w:rFonts w:ascii="Times New Roman" w:eastAsia="Calibri" w:hAnsi="Times New Roman" w:cs="Times New Roman"/>
          <w:b/>
          <w:bCs/>
          <w:u w:val="single"/>
        </w:rPr>
        <w:t>s) at</w:t>
      </w:r>
      <w:r w:rsidRPr="009A63A5">
        <w:rPr>
          <w:rFonts w:ascii="Times New Roman" w:eastAsia="Calibri" w:hAnsi="Times New Roman" w:cs="Times New Roman"/>
          <w:b/>
          <w:bCs/>
          <w:u w:val="single"/>
        </w:rPr>
        <w:t xml:space="preserve"> ISTS </w:t>
      </w:r>
      <w:r w:rsidR="009A63A5" w:rsidRPr="009A63A5">
        <w:rPr>
          <w:rFonts w:ascii="Times New Roman" w:eastAsia="Calibri" w:hAnsi="Times New Roman" w:cs="Times New Roman"/>
          <w:b/>
          <w:bCs/>
          <w:u w:val="single"/>
        </w:rPr>
        <w:t>Substation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24520" w:rsidRPr="0065691F" w14:paraId="32206452" w14:textId="77777777" w:rsidTr="00524520">
        <w:tc>
          <w:tcPr>
            <w:tcW w:w="9918" w:type="dxa"/>
          </w:tcPr>
          <w:p w14:paraId="1F0F89A6" w14:textId="34A37290" w:rsidR="00524520" w:rsidRPr="0065691F" w:rsidRDefault="00524520" w:rsidP="00BF13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4520" w:rsidRPr="0065691F" w14:paraId="4A36D0CE" w14:textId="77777777" w:rsidTr="00524520">
        <w:tc>
          <w:tcPr>
            <w:tcW w:w="9918" w:type="dxa"/>
          </w:tcPr>
          <w:p w14:paraId="68BAD64C" w14:textId="3DE11E33" w:rsidR="00524520" w:rsidRDefault="00524520" w:rsidP="007D5F6C">
            <w:pPr>
              <w:pStyle w:val="ListParagraph"/>
              <w:numPr>
                <w:ilvl w:val="0"/>
                <w:numId w:val="3"/>
              </w:numPr>
              <w:ind w:left="449"/>
              <w:jc w:val="both"/>
              <w:rPr>
                <w:rFonts w:ascii="Times New Roman" w:hAnsi="Times New Roman" w:cs="Times New Roman"/>
              </w:rPr>
            </w:pPr>
            <w:r w:rsidRPr="0065691F">
              <w:rPr>
                <w:rFonts w:ascii="Times New Roman" w:eastAsia="Calibri" w:hAnsi="Times New Roman" w:cs="Times New Roman"/>
                <w:b/>
                <w:bCs/>
                <w:lang w:val="en-IN"/>
              </w:rPr>
              <w:t>For 220kV Lines:</w:t>
            </w:r>
            <w:r w:rsidRPr="0065691F">
              <w:rPr>
                <w:rFonts w:ascii="Times New Roman" w:eastAsia="Calibri" w:hAnsi="Times New Roman" w:cs="Times New Roman"/>
                <w:lang w:val="en-IN"/>
              </w:rPr>
              <w:t xml:space="preserve"> </w:t>
            </w:r>
            <w:r w:rsidRPr="0065691F">
              <w:rPr>
                <w:rFonts w:ascii="Times New Roman" w:hAnsi="Times New Roman" w:cs="Times New Roman"/>
              </w:rPr>
              <w:t>Considering Right-of-Way near substation for termination of number of 220kV transmission lines</w:t>
            </w:r>
            <w:r>
              <w:rPr>
                <w:rFonts w:ascii="Times New Roman" w:hAnsi="Times New Roman" w:cs="Times New Roman"/>
              </w:rPr>
              <w:t xml:space="preserve"> (including Dedicated Transmission Lines)</w:t>
            </w:r>
            <w:r w:rsidRPr="0065691F">
              <w:rPr>
                <w:rFonts w:ascii="Times New Roman" w:hAnsi="Times New Roman" w:cs="Times New Roman"/>
              </w:rPr>
              <w:t xml:space="preserve">, the entities </w:t>
            </w:r>
            <w:r>
              <w:rPr>
                <w:rFonts w:ascii="Times New Roman" w:hAnsi="Times New Roman" w:cs="Times New Roman"/>
              </w:rPr>
              <w:t xml:space="preserve">shall </w:t>
            </w:r>
            <w:r w:rsidRPr="0065691F">
              <w:rPr>
                <w:rFonts w:ascii="Times New Roman" w:hAnsi="Times New Roman" w:cs="Times New Roman"/>
              </w:rPr>
              <w:t>coordinate among themselves for implementation of 220kV lines through multi circuit tower near the substation entry for about 2-3 kms stretch.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4F800A0" w14:textId="77777777" w:rsidR="00524520" w:rsidRPr="0065691F" w:rsidRDefault="00524520" w:rsidP="003F17AE">
            <w:pPr>
              <w:pStyle w:val="ListParagraph"/>
              <w:ind w:left="449"/>
              <w:jc w:val="both"/>
              <w:rPr>
                <w:rFonts w:ascii="Times New Roman" w:hAnsi="Times New Roman" w:cs="Times New Roman"/>
              </w:rPr>
            </w:pPr>
          </w:p>
          <w:p w14:paraId="7C3BD518" w14:textId="19DE843C" w:rsidR="00524520" w:rsidRDefault="00524520" w:rsidP="007D5F6C">
            <w:pPr>
              <w:pStyle w:val="ListParagraph"/>
              <w:ind w:left="449"/>
              <w:jc w:val="both"/>
              <w:rPr>
                <w:rFonts w:ascii="Times New Roman" w:hAnsi="Times New Roman" w:cs="Times New Roman"/>
              </w:rPr>
            </w:pPr>
            <w:r w:rsidRPr="003F17AE">
              <w:rPr>
                <w:rFonts w:ascii="Times New Roman" w:eastAsia="Calibri" w:hAnsi="Times New Roman" w:cs="Times New Roman"/>
                <w:lang w:val="en-IN"/>
              </w:rPr>
              <w:t>Termination</w:t>
            </w:r>
            <w:r w:rsidRPr="0065691F">
              <w:rPr>
                <w:rFonts w:ascii="Times New Roman" w:hAnsi="Times New Roman" w:cs="Times New Roman"/>
                <w:lang w:val="en-IN"/>
              </w:rPr>
              <w:t xml:space="preserve"> of line from multi-circuit tower to </w:t>
            </w:r>
            <w:r>
              <w:rPr>
                <w:rFonts w:ascii="Times New Roman" w:hAnsi="Times New Roman" w:cs="Times New Roman"/>
                <w:lang w:val="en-IN"/>
              </w:rPr>
              <w:t>substation</w:t>
            </w:r>
            <w:r w:rsidRPr="0065691F">
              <w:rPr>
                <w:rFonts w:ascii="Times New Roman" w:hAnsi="Times New Roman" w:cs="Times New Roman"/>
                <w:lang w:val="en-IN"/>
              </w:rPr>
              <w:t xml:space="preserve"> gantries </w:t>
            </w:r>
            <w:r>
              <w:rPr>
                <w:rFonts w:ascii="Times New Roman" w:hAnsi="Times New Roman" w:cs="Times New Roman"/>
                <w:lang w:val="en-IN"/>
              </w:rPr>
              <w:t>shall</w:t>
            </w:r>
            <w:r w:rsidRPr="0065691F">
              <w:rPr>
                <w:rFonts w:ascii="Times New Roman" w:hAnsi="Times New Roman" w:cs="Times New Roman"/>
                <w:lang w:val="en-IN"/>
              </w:rPr>
              <w:t xml:space="preserve"> be done using </w:t>
            </w:r>
            <w:r w:rsidRPr="0065691F">
              <w:rPr>
                <w:rFonts w:ascii="Times New Roman" w:hAnsi="Times New Roman" w:cs="Times New Roman"/>
              </w:rPr>
              <w:t>double-circuit dead-end towers, in coordination with the substation developer/developer</w:t>
            </w:r>
            <w:r>
              <w:rPr>
                <w:rFonts w:ascii="Times New Roman" w:hAnsi="Times New Roman" w:cs="Times New Roman"/>
              </w:rPr>
              <w:t>(s) of other 220kV lines</w:t>
            </w:r>
            <w:r w:rsidRPr="0065691F">
              <w:rPr>
                <w:rFonts w:ascii="Times New Roman" w:hAnsi="Times New Roman" w:cs="Times New Roman"/>
              </w:rPr>
              <w:t>, if required as per site conditions.</w:t>
            </w:r>
          </w:p>
          <w:p w14:paraId="5C286A89" w14:textId="77777777" w:rsidR="00524520" w:rsidRPr="0065691F" w:rsidRDefault="00524520" w:rsidP="007D5F6C">
            <w:pPr>
              <w:pStyle w:val="ListParagraph"/>
              <w:ind w:left="449"/>
              <w:jc w:val="both"/>
              <w:rPr>
                <w:rFonts w:ascii="Times New Roman" w:hAnsi="Times New Roman" w:cs="Times New Roman"/>
              </w:rPr>
            </w:pPr>
          </w:p>
          <w:p w14:paraId="36773DEA" w14:textId="4BE7DA13" w:rsidR="00524520" w:rsidRPr="0065691F" w:rsidRDefault="00524520" w:rsidP="007D5F6C">
            <w:pPr>
              <w:pStyle w:val="ListParagraph"/>
              <w:numPr>
                <w:ilvl w:val="0"/>
                <w:numId w:val="3"/>
              </w:numPr>
              <w:ind w:left="449"/>
              <w:jc w:val="both"/>
              <w:rPr>
                <w:rFonts w:ascii="Times New Roman" w:hAnsi="Times New Roman" w:cs="Times New Roman"/>
              </w:rPr>
            </w:pPr>
            <w:r w:rsidRPr="0065691F">
              <w:rPr>
                <w:rFonts w:ascii="Times New Roman" w:eastAsia="Calibri" w:hAnsi="Times New Roman" w:cs="Times New Roman"/>
                <w:b/>
                <w:bCs/>
                <w:lang w:val="en-IN"/>
              </w:rPr>
              <w:t>For 400kV Lines:</w:t>
            </w:r>
            <w:r w:rsidRPr="0065691F">
              <w:rPr>
                <w:rFonts w:ascii="Times New Roman" w:eastAsia="Calibri" w:hAnsi="Times New Roman" w:cs="Times New Roman"/>
                <w:lang w:val="en-IN"/>
              </w:rPr>
              <w:t xml:space="preserve"> </w:t>
            </w:r>
            <w:r w:rsidRPr="0065691F">
              <w:rPr>
                <w:rFonts w:ascii="Times New Roman" w:hAnsi="Times New Roman" w:cs="Times New Roman"/>
              </w:rPr>
              <w:t>Considering Right-of-Way near substation for termination of number of 400kV transmission lines</w:t>
            </w:r>
            <w:r>
              <w:rPr>
                <w:rFonts w:ascii="Times New Roman" w:hAnsi="Times New Roman" w:cs="Times New Roman"/>
              </w:rPr>
              <w:t xml:space="preserve"> (including Dedicated Transmission Lines)</w:t>
            </w:r>
            <w:r w:rsidRPr="0065691F">
              <w:rPr>
                <w:rFonts w:ascii="Times New Roman" w:hAnsi="Times New Roman" w:cs="Times New Roman"/>
              </w:rPr>
              <w:t xml:space="preserve">, the entities </w:t>
            </w:r>
            <w:r>
              <w:rPr>
                <w:rFonts w:ascii="Times New Roman" w:hAnsi="Times New Roman" w:cs="Times New Roman"/>
              </w:rPr>
              <w:t>shall</w:t>
            </w:r>
            <w:r w:rsidRPr="0065691F">
              <w:rPr>
                <w:rFonts w:ascii="Times New Roman" w:hAnsi="Times New Roman" w:cs="Times New Roman"/>
              </w:rPr>
              <w:t xml:space="preserve"> coordinate among themselves for implementation of 400kV lines </w:t>
            </w:r>
            <w:r>
              <w:rPr>
                <w:rFonts w:ascii="Times New Roman" w:hAnsi="Times New Roman" w:cs="Times New Roman"/>
              </w:rPr>
              <w:t xml:space="preserve">generally </w:t>
            </w:r>
            <w:r w:rsidRPr="009834BE">
              <w:rPr>
                <w:rFonts w:ascii="Times New Roman" w:hAnsi="Times New Roman" w:cs="Times New Roman"/>
              </w:rPr>
              <w:t xml:space="preserve">through </w:t>
            </w:r>
            <w:r w:rsidRPr="003F17AE">
              <w:rPr>
                <w:rFonts w:ascii="Times New Roman" w:hAnsi="Times New Roman" w:cs="Times New Roman"/>
              </w:rPr>
              <w:t>double circuit</w:t>
            </w:r>
            <w:r w:rsidRPr="009834BE">
              <w:rPr>
                <w:rFonts w:ascii="Times New Roman" w:hAnsi="Times New Roman" w:cs="Times New Roman"/>
              </w:rPr>
              <w:t xml:space="preserve"> tower near the substation entry f</w:t>
            </w:r>
            <w:r w:rsidRPr="0065691F">
              <w:rPr>
                <w:rFonts w:ascii="Times New Roman" w:hAnsi="Times New Roman" w:cs="Times New Roman"/>
              </w:rPr>
              <w:t xml:space="preserve">or about 2-3 kms stretch. Further, in case of site constraint with respect to corridor, 400 kV </w:t>
            </w:r>
            <w:r>
              <w:rPr>
                <w:rFonts w:ascii="Times New Roman" w:hAnsi="Times New Roman" w:cs="Times New Roman"/>
              </w:rPr>
              <w:t>m</w:t>
            </w:r>
            <w:r w:rsidRPr="0065691F">
              <w:rPr>
                <w:rFonts w:ascii="Times New Roman" w:hAnsi="Times New Roman" w:cs="Times New Roman"/>
              </w:rPr>
              <w:t>ult</w:t>
            </w:r>
            <w:r>
              <w:rPr>
                <w:rFonts w:ascii="Times New Roman" w:hAnsi="Times New Roman" w:cs="Times New Roman"/>
              </w:rPr>
              <w:t>i</w:t>
            </w:r>
            <w:r w:rsidRPr="0065691F">
              <w:rPr>
                <w:rFonts w:ascii="Times New Roman" w:hAnsi="Times New Roman" w:cs="Times New Roman"/>
              </w:rPr>
              <w:t xml:space="preserve"> circuit may </w:t>
            </w:r>
            <w:r>
              <w:rPr>
                <w:rFonts w:ascii="Times New Roman" w:hAnsi="Times New Roman" w:cs="Times New Roman"/>
              </w:rPr>
              <w:t xml:space="preserve">need to </w:t>
            </w:r>
            <w:r w:rsidRPr="0065691F">
              <w:rPr>
                <w:rFonts w:ascii="Times New Roman" w:hAnsi="Times New Roman" w:cs="Times New Roman"/>
              </w:rPr>
              <w:t xml:space="preserve">be </w:t>
            </w:r>
            <w:r>
              <w:rPr>
                <w:rFonts w:ascii="Times New Roman" w:hAnsi="Times New Roman" w:cs="Times New Roman"/>
              </w:rPr>
              <w:t>implemented</w:t>
            </w:r>
            <w:r w:rsidRPr="0065691F">
              <w:rPr>
                <w:rFonts w:ascii="Times New Roman" w:hAnsi="Times New Roman" w:cs="Times New Roman"/>
              </w:rPr>
              <w:t xml:space="preserve">, if required </w:t>
            </w:r>
            <w:r>
              <w:rPr>
                <w:rFonts w:ascii="Times New Roman" w:hAnsi="Times New Roman" w:cs="Times New Roman"/>
              </w:rPr>
              <w:t xml:space="preserve">as per inputs of </w:t>
            </w:r>
            <w:r w:rsidRPr="0065691F">
              <w:rPr>
                <w:rFonts w:ascii="Times New Roman" w:hAnsi="Times New Roman" w:cs="Times New Roman"/>
              </w:rPr>
              <w:t xml:space="preserve">the developer of the </w:t>
            </w:r>
            <w:r>
              <w:rPr>
                <w:rFonts w:ascii="Times New Roman" w:hAnsi="Times New Roman" w:cs="Times New Roman"/>
              </w:rPr>
              <w:t xml:space="preserve">ISTS end </w:t>
            </w:r>
            <w:r w:rsidRPr="0065691F">
              <w:rPr>
                <w:rFonts w:ascii="Times New Roman" w:hAnsi="Times New Roman" w:cs="Times New Roman"/>
              </w:rPr>
              <w:t>substation.</w:t>
            </w:r>
          </w:p>
          <w:p w14:paraId="6777B7D0" w14:textId="77777777" w:rsidR="00524520" w:rsidRPr="0065691F" w:rsidRDefault="00524520" w:rsidP="00BF1323">
            <w:pPr>
              <w:jc w:val="both"/>
              <w:rPr>
                <w:rFonts w:ascii="Times New Roman" w:hAnsi="Times New Roman" w:cs="Times New Roman"/>
              </w:rPr>
            </w:pPr>
          </w:p>
          <w:p w14:paraId="1EEB76BC" w14:textId="78EA4438" w:rsidR="00524520" w:rsidRPr="0065691F" w:rsidRDefault="00524520" w:rsidP="00DE4AAC">
            <w:pPr>
              <w:pStyle w:val="ListParagraph"/>
              <w:numPr>
                <w:ilvl w:val="0"/>
                <w:numId w:val="3"/>
              </w:numPr>
              <w:ind w:left="449"/>
              <w:jc w:val="both"/>
              <w:rPr>
                <w:rFonts w:ascii="Times New Roman" w:hAnsi="Times New Roman" w:cs="Times New Roman"/>
              </w:rPr>
            </w:pPr>
            <w:r w:rsidRPr="0065691F">
              <w:rPr>
                <w:rFonts w:ascii="Times New Roman" w:hAnsi="Times New Roman" w:cs="Times New Roman"/>
              </w:rPr>
              <w:t>As per CEA</w:t>
            </w:r>
            <w:r>
              <w:rPr>
                <w:rFonts w:ascii="Times New Roman" w:hAnsi="Times New Roman" w:cs="Times New Roman"/>
              </w:rPr>
              <w:t>’s</w:t>
            </w:r>
            <w:r w:rsidRPr="0065691F">
              <w:rPr>
                <w:rFonts w:ascii="Times New Roman" w:hAnsi="Times New Roman" w:cs="Times New Roman"/>
              </w:rPr>
              <w:t xml:space="preserve"> Manual on Transmission Planning </w:t>
            </w:r>
            <w:r>
              <w:rPr>
                <w:rFonts w:ascii="Times New Roman" w:hAnsi="Times New Roman" w:cs="Times New Roman"/>
              </w:rPr>
              <w:t>C</w:t>
            </w:r>
            <w:r w:rsidRPr="0065691F">
              <w:rPr>
                <w:rFonts w:ascii="Times New Roman" w:hAnsi="Times New Roman" w:cs="Times New Roman"/>
              </w:rPr>
              <w:t xml:space="preserve">riteria, </w:t>
            </w:r>
            <w:r>
              <w:rPr>
                <w:rFonts w:ascii="Times New Roman" w:hAnsi="Times New Roman" w:cs="Times New Roman"/>
              </w:rPr>
              <w:t>l</w:t>
            </w:r>
            <w:r w:rsidRPr="0065691F">
              <w:rPr>
                <w:rFonts w:ascii="Times New Roman" w:hAnsi="Times New Roman" w:cs="Times New Roman"/>
              </w:rPr>
              <w:t>ine approaching substation shall normally be perpendicular to the substation boundary for a stretch of 2-3 kms.</w:t>
            </w:r>
          </w:p>
        </w:tc>
      </w:tr>
    </w:tbl>
    <w:p w14:paraId="3EE8B9C9" w14:textId="77777777" w:rsidR="002C0A53" w:rsidRPr="0065691F" w:rsidRDefault="002C0A53" w:rsidP="00BF1323">
      <w:pPr>
        <w:jc w:val="both"/>
        <w:rPr>
          <w:rFonts w:ascii="Times New Roman" w:hAnsi="Times New Roman" w:cs="Times New Roman"/>
        </w:rPr>
      </w:pPr>
    </w:p>
    <w:p w14:paraId="61CAF89B" w14:textId="64545AF2" w:rsidR="6BD78A91" w:rsidRPr="0065691F" w:rsidRDefault="6BD78A91" w:rsidP="6BD78A91">
      <w:pPr>
        <w:jc w:val="both"/>
        <w:rPr>
          <w:rFonts w:ascii="Times New Roman" w:eastAsia="Calibri" w:hAnsi="Times New Roman" w:cs="Times New Roman"/>
        </w:rPr>
      </w:pPr>
    </w:p>
    <w:sectPr w:rsidR="6BD78A91" w:rsidRPr="0065691F" w:rsidSect="004E203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OBBsrcWnz4+bW" int2:id="8AFe3JJD">
      <int2:state int2:value="Rejected" int2:type="AugLoop_Text_Critique"/>
    </int2:textHash>
    <int2:textHash int2:hashCode="UPKSTdoVDqXKX+" int2:id="PZwi7Zj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54A8A"/>
    <w:multiLevelType w:val="hybridMultilevel"/>
    <w:tmpl w:val="18528360"/>
    <w:lvl w:ilvl="0" w:tplc="B706D90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B1C78"/>
    <w:multiLevelType w:val="hybridMultilevel"/>
    <w:tmpl w:val="D67E5516"/>
    <w:lvl w:ilvl="0" w:tplc="B726A362">
      <w:start w:val="1"/>
      <w:numFmt w:val="lowerLetter"/>
      <w:lvlText w:val="(%1)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9AAFA6"/>
    <w:multiLevelType w:val="hybridMultilevel"/>
    <w:tmpl w:val="FA5C5A76"/>
    <w:lvl w:ilvl="0" w:tplc="F95CE036">
      <w:start w:val="1"/>
      <w:numFmt w:val="decimal"/>
      <w:lvlText w:val="%1."/>
      <w:lvlJc w:val="left"/>
      <w:pPr>
        <w:ind w:left="720" w:hanging="360"/>
      </w:pPr>
    </w:lvl>
    <w:lvl w:ilvl="1" w:tplc="3460BD5A">
      <w:start w:val="1"/>
      <w:numFmt w:val="lowerLetter"/>
      <w:lvlText w:val="%2."/>
      <w:lvlJc w:val="left"/>
      <w:pPr>
        <w:ind w:left="1440" w:hanging="360"/>
      </w:pPr>
    </w:lvl>
    <w:lvl w:ilvl="2" w:tplc="C7F0C35E">
      <w:start w:val="1"/>
      <w:numFmt w:val="lowerRoman"/>
      <w:lvlText w:val="%3."/>
      <w:lvlJc w:val="right"/>
      <w:pPr>
        <w:ind w:left="2160" w:hanging="180"/>
      </w:pPr>
    </w:lvl>
    <w:lvl w:ilvl="3" w:tplc="88A492E0">
      <w:start w:val="1"/>
      <w:numFmt w:val="decimal"/>
      <w:lvlText w:val="%4."/>
      <w:lvlJc w:val="left"/>
      <w:pPr>
        <w:ind w:left="2880" w:hanging="360"/>
      </w:pPr>
    </w:lvl>
    <w:lvl w:ilvl="4" w:tplc="11788A14">
      <w:start w:val="1"/>
      <w:numFmt w:val="lowerLetter"/>
      <w:lvlText w:val="%5."/>
      <w:lvlJc w:val="left"/>
      <w:pPr>
        <w:ind w:left="3600" w:hanging="360"/>
      </w:pPr>
    </w:lvl>
    <w:lvl w:ilvl="5" w:tplc="AE603E7C">
      <w:start w:val="1"/>
      <w:numFmt w:val="lowerRoman"/>
      <w:lvlText w:val="%6."/>
      <w:lvlJc w:val="right"/>
      <w:pPr>
        <w:ind w:left="4320" w:hanging="180"/>
      </w:pPr>
    </w:lvl>
    <w:lvl w:ilvl="6" w:tplc="7CD8C6D4">
      <w:start w:val="1"/>
      <w:numFmt w:val="decimal"/>
      <w:lvlText w:val="%7."/>
      <w:lvlJc w:val="left"/>
      <w:pPr>
        <w:ind w:left="5040" w:hanging="360"/>
      </w:pPr>
    </w:lvl>
    <w:lvl w:ilvl="7" w:tplc="2D0A3F82">
      <w:start w:val="1"/>
      <w:numFmt w:val="lowerLetter"/>
      <w:lvlText w:val="%8."/>
      <w:lvlJc w:val="left"/>
      <w:pPr>
        <w:ind w:left="5760" w:hanging="360"/>
      </w:pPr>
    </w:lvl>
    <w:lvl w:ilvl="8" w:tplc="E7BCDB24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842">
    <w:abstractNumId w:val="2"/>
  </w:num>
  <w:num w:numId="2" w16cid:durableId="1893231555">
    <w:abstractNumId w:val="0"/>
  </w:num>
  <w:num w:numId="3" w16cid:durableId="30081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887DC0"/>
    <w:rsid w:val="0001351B"/>
    <w:rsid w:val="00080272"/>
    <w:rsid w:val="000C580E"/>
    <w:rsid w:val="000D3020"/>
    <w:rsid w:val="001C1912"/>
    <w:rsid w:val="001E3E8F"/>
    <w:rsid w:val="001E693B"/>
    <w:rsid w:val="001F1513"/>
    <w:rsid w:val="002130B0"/>
    <w:rsid w:val="00234619"/>
    <w:rsid w:val="0025126D"/>
    <w:rsid w:val="00261325"/>
    <w:rsid w:val="00286CDE"/>
    <w:rsid w:val="002954FA"/>
    <w:rsid w:val="00295C73"/>
    <w:rsid w:val="00296933"/>
    <w:rsid w:val="002C036F"/>
    <w:rsid w:val="002C0A53"/>
    <w:rsid w:val="002E74AC"/>
    <w:rsid w:val="002F5309"/>
    <w:rsid w:val="00303802"/>
    <w:rsid w:val="00324CEB"/>
    <w:rsid w:val="00344EDC"/>
    <w:rsid w:val="003749EC"/>
    <w:rsid w:val="003A0B0B"/>
    <w:rsid w:val="003A401B"/>
    <w:rsid w:val="003B3567"/>
    <w:rsid w:val="003F17AE"/>
    <w:rsid w:val="0040509F"/>
    <w:rsid w:val="0043066A"/>
    <w:rsid w:val="00432B4B"/>
    <w:rsid w:val="00454C20"/>
    <w:rsid w:val="0049702B"/>
    <w:rsid w:val="004A2DBA"/>
    <w:rsid w:val="004B006C"/>
    <w:rsid w:val="004D5764"/>
    <w:rsid w:val="004E203D"/>
    <w:rsid w:val="004E77A4"/>
    <w:rsid w:val="00510A62"/>
    <w:rsid w:val="00514ECA"/>
    <w:rsid w:val="00524520"/>
    <w:rsid w:val="005326ED"/>
    <w:rsid w:val="00533756"/>
    <w:rsid w:val="0053482C"/>
    <w:rsid w:val="00535A0B"/>
    <w:rsid w:val="00555F81"/>
    <w:rsid w:val="00573989"/>
    <w:rsid w:val="00630674"/>
    <w:rsid w:val="0065691F"/>
    <w:rsid w:val="006675F8"/>
    <w:rsid w:val="00687D0B"/>
    <w:rsid w:val="00696EBE"/>
    <w:rsid w:val="006A6B2F"/>
    <w:rsid w:val="006E10CC"/>
    <w:rsid w:val="006F187F"/>
    <w:rsid w:val="006F1941"/>
    <w:rsid w:val="007230A2"/>
    <w:rsid w:val="007A109A"/>
    <w:rsid w:val="007A5399"/>
    <w:rsid w:val="007C1BCC"/>
    <w:rsid w:val="007D58DD"/>
    <w:rsid w:val="007D5F6C"/>
    <w:rsid w:val="007E59D2"/>
    <w:rsid w:val="007F4E64"/>
    <w:rsid w:val="00817B3C"/>
    <w:rsid w:val="00833EF4"/>
    <w:rsid w:val="008500FA"/>
    <w:rsid w:val="00880663"/>
    <w:rsid w:val="008D0B52"/>
    <w:rsid w:val="008E513C"/>
    <w:rsid w:val="008F1C34"/>
    <w:rsid w:val="008F4F6D"/>
    <w:rsid w:val="009405C8"/>
    <w:rsid w:val="009834BE"/>
    <w:rsid w:val="009851F3"/>
    <w:rsid w:val="00997EBA"/>
    <w:rsid w:val="009A63A5"/>
    <w:rsid w:val="009A7FB7"/>
    <w:rsid w:val="009E36CB"/>
    <w:rsid w:val="00A07D11"/>
    <w:rsid w:val="00A464E9"/>
    <w:rsid w:val="00A46F09"/>
    <w:rsid w:val="00A76259"/>
    <w:rsid w:val="00A83D76"/>
    <w:rsid w:val="00AE507A"/>
    <w:rsid w:val="00AF0855"/>
    <w:rsid w:val="00B240AD"/>
    <w:rsid w:val="00B31EF8"/>
    <w:rsid w:val="00B36AE4"/>
    <w:rsid w:val="00BA39AE"/>
    <w:rsid w:val="00BA6FAF"/>
    <w:rsid w:val="00BB6B94"/>
    <w:rsid w:val="00BF1323"/>
    <w:rsid w:val="00C262BF"/>
    <w:rsid w:val="00C2781D"/>
    <w:rsid w:val="00C52178"/>
    <w:rsid w:val="00C66CF9"/>
    <w:rsid w:val="00C71583"/>
    <w:rsid w:val="00C73EA5"/>
    <w:rsid w:val="00CC6797"/>
    <w:rsid w:val="00CE2CB3"/>
    <w:rsid w:val="00CE632F"/>
    <w:rsid w:val="00CF001E"/>
    <w:rsid w:val="00D0740C"/>
    <w:rsid w:val="00D52AC0"/>
    <w:rsid w:val="00D5334E"/>
    <w:rsid w:val="00D70F53"/>
    <w:rsid w:val="00DE4AAC"/>
    <w:rsid w:val="00E15E83"/>
    <w:rsid w:val="00E3161F"/>
    <w:rsid w:val="00E36907"/>
    <w:rsid w:val="00E40473"/>
    <w:rsid w:val="00E61BEF"/>
    <w:rsid w:val="00EA54FA"/>
    <w:rsid w:val="00EC75AB"/>
    <w:rsid w:val="00ED514B"/>
    <w:rsid w:val="00ED6E73"/>
    <w:rsid w:val="00EE2748"/>
    <w:rsid w:val="00EF64BB"/>
    <w:rsid w:val="00F25B8F"/>
    <w:rsid w:val="00F34FB3"/>
    <w:rsid w:val="00F37C46"/>
    <w:rsid w:val="00F40117"/>
    <w:rsid w:val="00F76F43"/>
    <w:rsid w:val="00FA7B58"/>
    <w:rsid w:val="00FC3CDD"/>
    <w:rsid w:val="00FC7F2B"/>
    <w:rsid w:val="00FD7007"/>
    <w:rsid w:val="00FE1005"/>
    <w:rsid w:val="00FE277E"/>
    <w:rsid w:val="00FF301B"/>
    <w:rsid w:val="02426F4B"/>
    <w:rsid w:val="0272315D"/>
    <w:rsid w:val="0765D867"/>
    <w:rsid w:val="0A40A859"/>
    <w:rsid w:val="0C887DC0"/>
    <w:rsid w:val="0C984C05"/>
    <w:rsid w:val="0DD58C7E"/>
    <w:rsid w:val="0E789E88"/>
    <w:rsid w:val="0FBED5B9"/>
    <w:rsid w:val="1601F330"/>
    <w:rsid w:val="16C644F8"/>
    <w:rsid w:val="18406DEB"/>
    <w:rsid w:val="1D8093CB"/>
    <w:rsid w:val="2193B231"/>
    <w:rsid w:val="21B669AC"/>
    <w:rsid w:val="21E07E92"/>
    <w:rsid w:val="247BC007"/>
    <w:rsid w:val="2540F6A0"/>
    <w:rsid w:val="25DD8B0A"/>
    <w:rsid w:val="2CB2BD24"/>
    <w:rsid w:val="2CCC48D3"/>
    <w:rsid w:val="3288BDF2"/>
    <w:rsid w:val="35F8FF2E"/>
    <w:rsid w:val="36D47D1F"/>
    <w:rsid w:val="38A72065"/>
    <w:rsid w:val="396C6A16"/>
    <w:rsid w:val="3B6573A1"/>
    <w:rsid w:val="3C3627A2"/>
    <w:rsid w:val="3FFF933B"/>
    <w:rsid w:val="40C32A08"/>
    <w:rsid w:val="43819EA1"/>
    <w:rsid w:val="4B3DC36E"/>
    <w:rsid w:val="4C9C0603"/>
    <w:rsid w:val="51BEF048"/>
    <w:rsid w:val="5981645A"/>
    <w:rsid w:val="5B7DF847"/>
    <w:rsid w:val="5D323C8E"/>
    <w:rsid w:val="6144609E"/>
    <w:rsid w:val="63E02784"/>
    <w:rsid w:val="65B16548"/>
    <w:rsid w:val="679A0563"/>
    <w:rsid w:val="6BC05CB6"/>
    <w:rsid w:val="6BC2A359"/>
    <w:rsid w:val="6BD78A91"/>
    <w:rsid w:val="6D3E1858"/>
    <w:rsid w:val="6D880EE3"/>
    <w:rsid w:val="6EEA9EC1"/>
    <w:rsid w:val="78485939"/>
    <w:rsid w:val="7A3E248E"/>
    <w:rsid w:val="7AAE611A"/>
    <w:rsid w:val="7AFB2234"/>
    <w:rsid w:val="7FF9E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7DC0"/>
  <w15:chartTrackingRefBased/>
  <w15:docId w15:val="{E9076A9D-217B-48DF-9AC8-DABB90E3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2C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37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D25E1-C930-4866-8107-BCA98605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Kunal Kumar {कुणाल कुमार}</dc:creator>
  <cp:keywords/>
  <dc:description/>
  <cp:lastModifiedBy>Rakesh Kumar {राकेश कुमार}</cp:lastModifiedBy>
  <cp:revision>41</cp:revision>
  <cp:lastPrinted>2024-10-22T07:01:00Z</cp:lastPrinted>
  <dcterms:created xsi:type="dcterms:W3CDTF">2024-09-02T05:03:00Z</dcterms:created>
  <dcterms:modified xsi:type="dcterms:W3CDTF">2024-11-12T06:49:00Z</dcterms:modified>
</cp:coreProperties>
</file>