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C133" w14:textId="77777777" w:rsidR="00F26380" w:rsidRPr="00EB5502" w:rsidRDefault="00F26380" w:rsidP="00F26380">
      <w:pPr>
        <w:spacing w:before="90" w:after="240" w:line="360" w:lineRule="auto"/>
        <w:ind w:right="26"/>
        <w:contextualSpacing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  <w:r w:rsidRPr="00EB5502">
        <w:rPr>
          <w:rFonts w:ascii="Arial" w:hAnsi="Arial" w:cs="Arial"/>
          <w:b/>
          <w:bCs/>
          <w:sz w:val="24"/>
          <w:szCs w:val="24"/>
        </w:rPr>
        <w:t>FORMAT-GN</w:t>
      </w:r>
      <w:r>
        <w:rPr>
          <w:rFonts w:ascii="Arial" w:hAnsi="Arial" w:cs="Arial"/>
          <w:b/>
          <w:bCs/>
          <w:sz w:val="24"/>
          <w:szCs w:val="24"/>
        </w:rPr>
        <w:t>A-INTRA-NOC</w:t>
      </w:r>
    </w:p>
    <w:p w14:paraId="17B395C0" w14:textId="77777777" w:rsidR="00F26380" w:rsidRDefault="00F26380" w:rsidP="00F26380">
      <w:pPr>
        <w:rPr>
          <w:rFonts w:ascii="Arial" w:hAnsi="Arial" w:cs="Arial"/>
        </w:rPr>
      </w:pPr>
    </w:p>
    <w:p w14:paraId="5F84A085" w14:textId="15E06B0E" w:rsidR="00F26380" w:rsidRPr="00B55474" w:rsidRDefault="00F26380" w:rsidP="00C5673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E25D3">
        <w:rPr>
          <w:rFonts w:ascii="Arial" w:hAnsi="Arial" w:cs="Arial"/>
          <w:b/>
          <w:bCs/>
          <w:sz w:val="24"/>
          <w:szCs w:val="24"/>
        </w:rPr>
        <w:t xml:space="preserve">NO OBJECTION CERTIFICATE </w:t>
      </w:r>
      <w:r>
        <w:rPr>
          <w:rFonts w:ascii="Arial" w:hAnsi="Arial" w:cs="Arial"/>
          <w:b/>
          <w:bCs/>
          <w:sz w:val="24"/>
          <w:szCs w:val="24"/>
        </w:rPr>
        <w:t xml:space="preserve">(NOC) </w:t>
      </w:r>
      <w:r w:rsidRPr="00DE25D3">
        <w:rPr>
          <w:rFonts w:ascii="Arial" w:hAnsi="Arial" w:cs="Arial"/>
          <w:b/>
          <w:bCs/>
          <w:sz w:val="24"/>
          <w:szCs w:val="24"/>
        </w:rPr>
        <w:t>OF</w:t>
      </w:r>
      <w:r w:rsidRPr="00DE25D3">
        <w:rPr>
          <w:rFonts w:ascii="Arial" w:hAnsi="Arial" w:cs="Arial"/>
          <w:sz w:val="24"/>
          <w:szCs w:val="24"/>
        </w:rPr>
        <w:t xml:space="preserve"> </w:t>
      </w:r>
      <w:r w:rsidRPr="00B55474">
        <w:rPr>
          <w:rFonts w:ascii="Arial" w:hAnsi="Arial" w:cs="Arial"/>
          <w:sz w:val="24"/>
          <w:szCs w:val="24"/>
        </w:rPr>
        <w:t>&lt;&lt;Name of State Transmission Utility&gt;&gt;</w:t>
      </w:r>
      <w:r w:rsidR="00C56734">
        <w:rPr>
          <w:rFonts w:ascii="Arial" w:hAnsi="Arial" w:cs="Arial"/>
          <w:sz w:val="24"/>
          <w:szCs w:val="24"/>
        </w:rPr>
        <w:t xml:space="preserve"> </w:t>
      </w:r>
      <w:r w:rsidR="00C56734" w:rsidRPr="00071EF1">
        <w:rPr>
          <w:rFonts w:ascii="Arial" w:hAnsi="Arial" w:cs="Arial"/>
          <w:b/>
          <w:bCs/>
          <w:sz w:val="24"/>
          <w:szCs w:val="24"/>
        </w:rPr>
        <w:t>FOR GNA/GNA</w:t>
      </w:r>
      <w:r w:rsidR="00C56734" w:rsidRPr="00071EF1">
        <w:rPr>
          <w:rFonts w:ascii="Arial" w:hAnsi="Arial" w:cs="Arial"/>
          <w:b/>
          <w:bCs/>
          <w:sz w:val="24"/>
          <w:szCs w:val="24"/>
          <w:vertAlign w:val="subscript"/>
        </w:rPr>
        <w:t>RE</w:t>
      </w:r>
      <w:r w:rsidR="005C7317" w:rsidRPr="00986F02">
        <w:rPr>
          <w:rFonts w:ascii="Arial" w:hAnsi="Arial" w:cs="Arial"/>
          <w:sz w:val="24"/>
          <w:szCs w:val="24"/>
          <w:vertAlign w:val="superscript"/>
        </w:rPr>
        <w:t>#</w:t>
      </w:r>
    </w:p>
    <w:p w14:paraId="7E0EE9E0" w14:textId="77777777" w:rsidR="00F26380" w:rsidRPr="00B55474" w:rsidRDefault="00F26380" w:rsidP="00F26380">
      <w:pPr>
        <w:spacing w:line="360" w:lineRule="auto"/>
        <w:rPr>
          <w:rFonts w:ascii="Arial" w:hAnsi="Arial" w:cs="Arial"/>
          <w:sz w:val="24"/>
          <w:szCs w:val="24"/>
        </w:rPr>
      </w:pPr>
    </w:p>
    <w:p w14:paraId="1D2F353B" w14:textId="77777777" w:rsidR="00F26380" w:rsidRDefault="00F26380" w:rsidP="00F26380">
      <w:pPr>
        <w:spacing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</w:t>
      </w:r>
      <w:r w:rsidRPr="00B55474">
        <w:rPr>
          <w:rFonts w:ascii="Arial" w:hAnsi="Arial" w:cs="Arial"/>
          <w:sz w:val="24"/>
          <w:szCs w:val="24"/>
        </w:rPr>
        <w:t xml:space="preserve">C No.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3719DFD7" w14:textId="77777777" w:rsidR="00F26380" w:rsidRPr="00B55474" w:rsidRDefault="00F26380" w:rsidP="00F263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Issue </w:t>
      </w:r>
      <w:r w:rsidRPr="00B55474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76AD18EA" w14:textId="77777777" w:rsidR="00F26380" w:rsidRPr="00B55474" w:rsidRDefault="00F26380" w:rsidP="00F26380">
      <w:pPr>
        <w:spacing w:line="360" w:lineRule="auto"/>
        <w:rPr>
          <w:rFonts w:ascii="Arial" w:hAnsi="Arial" w:cs="Arial"/>
          <w:sz w:val="24"/>
          <w:szCs w:val="24"/>
        </w:rPr>
      </w:pPr>
    </w:p>
    <w:p w14:paraId="69A1B2BB" w14:textId="77777777" w:rsidR="00F26380" w:rsidRPr="00B55474" w:rsidRDefault="00F26380" w:rsidP="00F263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>Name of the STU issuing NOC</w:t>
      </w:r>
      <w:r w:rsidRPr="00B55474">
        <w:rPr>
          <w:rFonts w:ascii="Arial" w:hAnsi="Arial" w:cs="Arial"/>
          <w:sz w:val="24"/>
          <w:szCs w:val="24"/>
        </w:rPr>
        <w:tab/>
      </w:r>
      <w:r w:rsidRPr="00B55474">
        <w:rPr>
          <w:rFonts w:ascii="Arial" w:hAnsi="Arial" w:cs="Arial"/>
          <w:sz w:val="24"/>
          <w:szCs w:val="24"/>
        </w:rPr>
        <w:tab/>
        <w:t>:</w:t>
      </w:r>
    </w:p>
    <w:p w14:paraId="7B529529" w14:textId="5CD5D934" w:rsidR="00F26380" w:rsidRPr="00B55474" w:rsidRDefault="00F26380" w:rsidP="00F263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>Region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54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5474">
        <w:rPr>
          <w:rFonts w:ascii="Arial" w:hAnsi="Arial" w:cs="Arial"/>
          <w:sz w:val="24"/>
          <w:szCs w:val="24"/>
        </w:rPr>
        <w:t xml:space="preserve">: </w:t>
      </w:r>
      <w:r w:rsidRPr="00B55474">
        <w:rPr>
          <w:rFonts w:ascii="Arial" w:hAnsi="Arial" w:cs="Arial"/>
          <w:i/>
          <w:iCs/>
          <w:sz w:val="24"/>
          <w:szCs w:val="24"/>
        </w:rPr>
        <w:t>(NR/ER/NER/WR/SR)</w:t>
      </w:r>
      <w:r w:rsidR="005C7317" w:rsidRPr="005C731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C7317" w:rsidRPr="00986F02">
        <w:rPr>
          <w:rFonts w:ascii="Arial" w:hAnsi="Arial" w:cs="Arial"/>
          <w:sz w:val="24"/>
          <w:szCs w:val="24"/>
          <w:vertAlign w:val="superscript"/>
        </w:rPr>
        <w:t>#</w:t>
      </w:r>
    </w:p>
    <w:p w14:paraId="2A312EF2" w14:textId="77777777" w:rsidR="00F26380" w:rsidRPr="00B55474" w:rsidRDefault="00F26380" w:rsidP="00F263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>Name of the Entity</w:t>
      </w:r>
      <w:r>
        <w:rPr>
          <w:rFonts w:ascii="Arial" w:hAnsi="Arial" w:cs="Arial"/>
          <w:sz w:val="24"/>
          <w:szCs w:val="24"/>
        </w:rPr>
        <w:t xml:space="preserve"> to whom NOC is issued</w:t>
      </w:r>
      <w:r>
        <w:rPr>
          <w:rFonts w:ascii="Arial" w:hAnsi="Arial" w:cs="Arial"/>
          <w:sz w:val="24"/>
          <w:szCs w:val="24"/>
        </w:rPr>
        <w:tab/>
      </w:r>
      <w:r w:rsidRPr="00B55474">
        <w:rPr>
          <w:rFonts w:ascii="Arial" w:hAnsi="Arial" w:cs="Arial"/>
          <w:sz w:val="24"/>
          <w:szCs w:val="24"/>
        </w:rPr>
        <w:t>:</w:t>
      </w:r>
    </w:p>
    <w:p w14:paraId="3BE2C6DE" w14:textId="5D4B9BCD" w:rsidR="00F26380" w:rsidRPr="00B55474" w:rsidRDefault="00F26380" w:rsidP="00F263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>Status of 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547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B55474">
        <w:rPr>
          <w:rFonts w:ascii="Arial" w:hAnsi="Arial" w:cs="Arial"/>
          <w:i/>
          <w:iCs/>
          <w:sz w:val="24"/>
          <w:szCs w:val="24"/>
        </w:rPr>
        <w:t>(State Utility/CPP/IPP/Discom etc.)</w:t>
      </w:r>
      <w:r w:rsidR="005C7317" w:rsidRPr="005C731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C7317" w:rsidRPr="00986F02">
        <w:rPr>
          <w:rFonts w:ascii="Arial" w:hAnsi="Arial" w:cs="Arial"/>
          <w:sz w:val="24"/>
          <w:szCs w:val="24"/>
          <w:vertAlign w:val="superscript"/>
        </w:rPr>
        <w:t>#</w:t>
      </w:r>
    </w:p>
    <w:p w14:paraId="05F3FB08" w14:textId="77777777" w:rsidR="00F26380" w:rsidRPr="00B55474" w:rsidRDefault="00F26380" w:rsidP="00F263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>Point(s) of Connection</w:t>
      </w:r>
      <w:r>
        <w:rPr>
          <w:rFonts w:ascii="Arial" w:hAnsi="Arial" w:cs="Arial"/>
          <w:sz w:val="24"/>
          <w:szCs w:val="24"/>
        </w:rPr>
        <w:t xml:space="preserve"> to STU</w:t>
      </w:r>
      <w:r w:rsidRPr="00B554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5474">
        <w:rPr>
          <w:rFonts w:ascii="Arial" w:hAnsi="Arial" w:cs="Arial"/>
          <w:sz w:val="24"/>
          <w:szCs w:val="24"/>
        </w:rPr>
        <w:t>:</w:t>
      </w:r>
    </w:p>
    <w:p w14:paraId="7BF22736" w14:textId="77777777" w:rsidR="00F26380" w:rsidRPr="00B55474" w:rsidRDefault="00F26380" w:rsidP="00F263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 xml:space="preserve">Max. MW ceiling allowed for </w:t>
      </w:r>
      <w:proofErr w:type="spellStart"/>
      <w:r w:rsidRPr="00B55474">
        <w:rPr>
          <w:rFonts w:ascii="Arial" w:hAnsi="Arial" w:cs="Arial"/>
          <w:sz w:val="24"/>
          <w:szCs w:val="24"/>
        </w:rPr>
        <w:t>Drawal</w:t>
      </w:r>
      <w:proofErr w:type="spellEnd"/>
      <w:r w:rsidRPr="00B55474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5474">
        <w:rPr>
          <w:rFonts w:ascii="Arial" w:hAnsi="Arial" w:cs="Arial"/>
          <w:sz w:val="24"/>
          <w:szCs w:val="24"/>
        </w:rPr>
        <w:t>:</w:t>
      </w:r>
    </w:p>
    <w:p w14:paraId="13D7437F" w14:textId="77777777" w:rsidR="00F26380" w:rsidRPr="00B55474" w:rsidRDefault="00F26380" w:rsidP="00F26380">
      <w:pPr>
        <w:spacing w:line="360" w:lineRule="auto"/>
        <w:ind w:firstLine="360"/>
        <w:rPr>
          <w:rFonts w:ascii="Arial" w:hAnsi="Arial" w:cs="Arial"/>
          <w:i/>
          <w:iCs/>
          <w:sz w:val="20"/>
          <w:szCs w:val="20"/>
        </w:rPr>
      </w:pPr>
      <w:r w:rsidRPr="00B55474">
        <w:rPr>
          <w:rFonts w:ascii="Arial" w:hAnsi="Arial" w:cs="Arial"/>
          <w:i/>
          <w:iCs/>
          <w:sz w:val="20"/>
          <w:szCs w:val="20"/>
        </w:rPr>
        <w:t>(*STU may specify different MW ceilings for different time blocks, if required.)</w:t>
      </w:r>
    </w:p>
    <w:p w14:paraId="444522CC" w14:textId="77777777" w:rsidR="00F26380" w:rsidRDefault="00F26380" w:rsidP="00F263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Date of NOC</w:t>
      </w:r>
      <w:r w:rsidRPr="00B554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5474">
        <w:rPr>
          <w:rFonts w:ascii="Arial" w:hAnsi="Arial" w:cs="Arial"/>
          <w:sz w:val="24"/>
          <w:szCs w:val="24"/>
        </w:rPr>
        <w:t xml:space="preserve">: </w:t>
      </w:r>
    </w:p>
    <w:p w14:paraId="2B54C6C6" w14:textId="77777777" w:rsidR="00F26380" w:rsidRDefault="00F26380" w:rsidP="00F263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 Date of NOC</w:t>
      </w:r>
      <w:r w:rsidRPr="00EB55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B5502">
        <w:rPr>
          <w:rFonts w:ascii="Arial" w:hAnsi="Arial" w:cs="Arial"/>
          <w:sz w:val="24"/>
          <w:szCs w:val="24"/>
        </w:rPr>
        <w:t xml:space="preserve">: </w:t>
      </w:r>
    </w:p>
    <w:p w14:paraId="6E5A6B86" w14:textId="77777777" w:rsidR="00F26380" w:rsidRPr="00B55474" w:rsidRDefault="00F26380" w:rsidP="00F263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 xml:space="preserve">Transmission losses (besides </w:t>
      </w:r>
      <w:r>
        <w:rPr>
          <w:rFonts w:ascii="Arial" w:hAnsi="Arial" w:cs="Arial"/>
          <w:sz w:val="24"/>
          <w:szCs w:val="24"/>
        </w:rPr>
        <w:t>ISTS</w:t>
      </w:r>
      <w:r w:rsidRPr="00B55474">
        <w:rPr>
          <w:rFonts w:ascii="Arial" w:hAnsi="Arial" w:cs="Arial"/>
          <w:sz w:val="24"/>
          <w:szCs w:val="24"/>
        </w:rPr>
        <w:t xml:space="preserve"> Transmission losses)</w:t>
      </w: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421"/>
        <w:gridCol w:w="1800"/>
      </w:tblGrid>
      <w:tr w:rsidR="00F26380" w:rsidRPr="0038524A" w14:paraId="0D130EAE" w14:textId="77777777" w:rsidTr="00241BAB">
        <w:trPr>
          <w:trHeight w:val="2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EC77" w14:textId="77777777" w:rsidR="00F26380" w:rsidRPr="00B55474" w:rsidRDefault="00F26380" w:rsidP="00241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6394" w14:textId="77777777" w:rsidR="00F26380" w:rsidRPr="00B55474" w:rsidRDefault="00F26380" w:rsidP="00241BAB">
            <w:pPr>
              <w:tabs>
                <w:tab w:val="left" w:pos="1200"/>
                <w:tab w:val="left" w:pos="2520"/>
                <w:tab w:val="left" w:pos="2980"/>
              </w:tabs>
              <w:ind w:left="102" w:right="-20"/>
              <w:jc w:val="center"/>
              <w:rPr>
                <w:rFonts w:ascii="Arial" w:hAnsi="Arial" w:cs="Arial"/>
                <w:b/>
                <w:bCs/>
              </w:rPr>
            </w:pPr>
            <w:r w:rsidRPr="00B55474">
              <w:rPr>
                <w:rFonts w:ascii="Arial" w:hAnsi="Arial" w:cs="Arial"/>
                <w:b/>
                <w:bCs/>
                <w:spacing w:val="1"/>
              </w:rPr>
              <w:t>W</w:t>
            </w:r>
            <w:r w:rsidRPr="00B55474">
              <w:rPr>
                <w:rFonts w:ascii="Arial" w:hAnsi="Arial" w:cs="Arial"/>
                <w:b/>
                <w:bCs/>
              </w:rPr>
              <w:t>h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B55474">
              <w:rPr>
                <w:rFonts w:ascii="Arial" w:hAnsi="Arial" w:cs="Arial"/>
                <w:b/>
                <w:bCs/>
              </w:rPr>
              <w:t>ther</w:t>
            </w:r>
            <w:r w:rsidRPr="00B55474">
              <w:rPr>
                <w:rFonts w:ascii="Arial" w:hAnsi="Arial" w:cs="Arial"/>
                <w:b/>
                <w:bCs/>
              </w:rPr>
              <w:tab/>
              <w:t>Applic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B55474">
              <w:rPr>
                <w:rFonts w:ascii="Arial" w:hAnsi="Arial" w:cs="Arial"/>
                <w:b/>
                <w:bCs/>
              </w:rPr>
              <w:t>ble</w:t>
            </w:r>
            <w:r w:rsidRPr="00B55474">
              <w:rPr>
                <w:rFonts w:ascii="Arial" w:hAnsi="Arial" w:cs="Arial"/>
                <w:b/>
                <w:bCs/>
              </w:rPr>
              <w:tab/>
              <w:t>or</w:t>
            </w:r>
            <w:r w:rsidRPr="00B55474">
              <w:rPr>
                <w:rFonts w:ascii="Arial" w:hAnsi="Arial" w:cs="Arial"/>
                <w:b/>
                <w:bCs/>
              </w:rPr>
              <w:tab/>
              <w:t>not</w:t>
            </w:r>
          </w:p>
          <w:p w14:paraId="64F7F024" w14:textId="77777777" w:rsidR="00F26380" w:rsidRPr="00B55474" w:rsidRDefault="00F26380" w:rsidP="00241BAB">
            <w:pPr>
              <w:ind w:left="102" w:right="-20"/>
              <w:jc w:val="center"/>
              <w:rPr>
                <w:rFonts w:ascii="Arial" w:hAnsi="Arial" w:cs="Arial"/>
                <w:b/>
                <w:bCs/>
              </w:rPr>
            </w:pPr>
            <w:r w:rsidRPr="00B55474">
              <w:rPr>
                <w:rFonts w:ascii="Arial" w:hAnsi="Arial" w:cs="Arial"/>
                <w:b/>
                <w:bCs/>
              </w:rPr>
              <w:t>(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Ye</w:t>
            </w:r>
            <w:r w:rsidRPr="00B55474">
              <w:rPr>
                <w:rFonts w:ascii="Arial" w:hAnsi="Arial" w:cs="Arial"/>
                <w:b/>
                <w:bCs/>
              </w:rPr>
              <w:t>s/No)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8AF1" w14:textId="77777777" w:rsidR="00F26380" w:rsidRPr="00B55474" w:rsidRDefault="00F26380" w:rsidP="00241BAB">
            <w:pPr>
              <w:ind w:left="102" w:right="-20"/>
              <w:jc w:val="center"/>
              <w:rPr>
                <w:rFonts w:ascii="Arial" w:hAnsi="Arial" w:cs="Arial"/>
                <w:b/>
                <w:bCs/>
              </w:rPr>
            </w:pPr>
            <w:r w:rsidRPr="00B55474">
              <w:rPr>
                <w:rFonts w:ascii="Arial" w:hAnsi="Arial" w:cs="Arial"/>
                <w:b/>
                <w:bCs/>
              </w:rPr>
              <w:t>(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%</w:t>
            </w:r>
            <w:r w:rsidRPr="00B55474">
              <w:rPr>
                <w:rFonts w:ascii="Arial" w:hAnsi="Arial" w:cs="Arial"/>
                <w:b/>
                <w:bCs/>
              </w:rPr>
              <w:t>) loss</w:t>
            </w:r>
          </w:p>
        </w:tc>
      </w:tr>
      <w:tr w:rsidR="00F26380" w:rsidRPr="0038524A" w14:paraId="06CAF7A7" w14:textId="77777777" w:rsidTr="00241BAB">
        <w:trPr>
          <w:trHeight w:val="2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D57F" w14:textId="77777777" w:rsidR="00F26380" w:rsidRPr="00B55474" w:rsidRDefault="00F26380" w:rsidP="00241BAB">
            <w:pPr>
              <w:ind w:left="102" w:right="-20"/>
              <w:rPr>
                <w:rFonts w:ascii="Arial" w:hAnsi="Arial" w:cs="Arial"/>
                <w:b/>
                <w:bCs/>
              </w:rPr>
            </w:pPr>
            <w:r w:rsidRPr="00B55474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B55474">
              <w:rPr>
                <w:rFonts w:ascii="Arial" w:hAnsi="Arial" w:cs="Arial"/>
                <w:b/>
                <w:bCs/>
              </w:rPr>
              <w:t>tate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B55474">
              <w:rPr>
                <w:rFonts w:ascii="Arial" w:hAnsi="Arial" w:cs="Arial"/>
                <w:b/>
                <w:bCs/>
              </w:rPr>
              <w:t>T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ra</w:t>
            </w:r>
            <w:r w:rsidRPr="00B55474">
              <w:rPr>
                <w:rFonts w:ascii="Arial" w:hAnsi="Arial" w:cs="Arial"/>
                <w:b/>
                <w:bCs/>
              </w:rPr>
              <w:t>nsm</w:t>
            </w:r>
            <w:r w:rsidRPr="00B5547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B55474">
              <w:rPr>
                <w:rFonts w:ascii="Arial" w:hAnsi="Arial" w:cs="Arial"/>
                <w:b/>
                <w:bCs/>
              </w:rPr>
              <w:t>ss</w:t>
            </w:r>
            <w:r w:rsidRPr="00B5547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B55474">
              <w:rPr>
                <w:rFonts w:ascii="Arial" w:hAnsi="Arial" w:cs="Arial"/>
                <w:b/>
                <w:bCs/>
              </w:rPr>
              <w:t>on loss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B55474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2A05" w14:textId="77777777" w:rsidR="00F26380" w:rsidRPr="00B55474" w:rsidRDefault="00F26380" w:rsidP="00241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D8F" w14:textId="77777777" w:rsidR="00F26380" w:rsidRPr="00B55474" w:rsidRDefault="00F26380" w:rsidP="00241BAB">
            <w:pPr>
              <w:jc w:val="center"/>
              <w:rPr>
                <w:rFonts w:ascii="Arial" w:hAnsi="Arial" w:cs="Arial"/>
              </w:rPr>
            </w:pPr>
          </w:p>
        </w:tc>
      </w:tr>
      <w:tr w:rsidR="00F26380" w:rsidRPr="0038524A" w14:paraId="1EFA9699" w14:textId="77777777" w:rsidTr="00241BAB">
        <w:trPr>
          <w:trHeight w:val="2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66D5" w14:textId="77777777" w:rsidR="00F26380" w:rsidRPr="00B55474" w:rsidRDefault="00F26380" w:rsidP="00241BAB">
            <w:pPr>
              <w:ind w:left="102" w:right="-20"/>
              <w:rPr>
                <w:rFonts w:ascii="Arial" w:hAnsi="Arial" w:cs="Arial"/>
                <w:b/>
                <w:bCs/>
              </w:rPr>
            </w:pPr>
            <w:r w:rsidRPr="00B55474">
              <w:rPr>
                <w:rFonts w:ascii="Arial" w:hAnsi="Arial" w:cs="Arial"/>
                <w:b/>
                <w:bCs/>
              </w:rPr>
              <w:t>A</w:t>
            </w:r>
            <w:r w:rsidRPr="00B55474">
              <w:rPr>
                <w:rFonts w:ascii="Arial" w:hAnsi="Arial" w:cs="Arial"/>
                <w:b/>
                <w:bCs/>
                <w:spacing w:val="2"/>
              </w:rPr>
              <w:t>n</w:t>
            </w:r>
            <w:r w:rsidRPr="00B55474">
              <w:rPr>
                <w:rFonts w:ascii="Arial" w:hAnsi="Arial" w:cs="Arial"/>
                <w:b/>
                <w:bCs/>
              </w:rPr>
              <w:t>y</w:t>
            </w:r>
            <w:r w:rsidRPr="00B55474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B55474">
              <w:rPr>
                <w:rFonts w:ascii="Arial" w:hAnsi="Arial" w:cs="Arial"/>
                <w:b/>
                <w:bCs/>
              </w:rPr>
              <w:t>oth</w:t>
            </w:r>
            <w:r w:rsidRPr="00B55474">
              <w:rPr>
                <w:rFonts w:ascii="Arial" w:hAnsi="Arial" w:cs="Arial"/>
                <w:b/>
                <w:bCs/>
                <w:spacing w:val="2"/>
              </w:rPr>
              <w:t>e</w:t>
            </w:r>
            <w:r w:rsidRPr="00B55474">
              <w:rPr>
                <w:rFonts w:ascii="Arial" w:hAnsi="Arial" w:cs="Arial"/>
                <w:b/>
                <w:bCs/>
              </w:rPr>
              <w:t>r loss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B55474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D6D1" w14:textId="77777777" w:rsidR="00F26380" w:rsidRPr="00B55474" w:rsidRDefault="00F26380" w:rsidP="00241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D6CF" w14:textId="77777777" w:rsidR="00F26380" w:rsidRPr="00B55474" w:rsidRDefault="00F26380" w:rsidP="00241BA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E70256E" w14:textId="77777777" w:rsidR="00F26380" w:rsidRPr="00B55474" w:rsidRDefault="00F26380" w:rsidP="00F26380">
      <w:pPr>
        <w:spacing w:line="360" w:lineRule="auto"/>
        <w:rPr>
          <w:rFonts w:ascii="Arial" w:hAnsi="Arial" w:cs="Arial"/>
          <w:sz w:val="24"/>
          <w:szCs w:val="24"/>
        </w:rPr>
      </w:pPr>
    </w:p>
    <w:p w14:paraId="7F58A920" w14:textId="77777777" w:rsidR="00F26380" w:rsidRPr="00B55474" w:rsidRDefault="00F26380" w:rsidP="00F263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 xml:space="preserve">Transmission charges (besides </w:t>
      </w:r>
      <w:r>
        <w:rPr>
          <w:rFonts w:ascii="Arial" w:hAnsi="Arial" w:cs="Arial"/>
          <w:sz w:val="24"/>
          <w:szCs w:val="24"/>
        </w:rPr>
        <w:t>ISTS</w:t>
      </w:r>
      <w:r w:rsidRPr="00B55474">
        <w:rPr>
          <w:rFonts w:ascii="Arial" w:hAnsi="Arial" w:cs="Arial"/>
          <w:sz w:val="24"/>
          <w:szCs w:val="24"/>
        </w:rPr>
        <w:t xml:space="preserve"> Transmission charges)</w:t>
      </w: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421"/>
        <w:gridCol w:w="1800"/>
      </w:tblGrid>
      <w:tr w:rsidR="00F26380" w:rsidRPr="0038524A" w14:paraId="0AAE73D7" w14:textId="77777777" w:rsidTr="00241BAB">
        <w:trPr>
          <w:trHeight w:val="2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2B5D" w14:textId="77777777" w:rsidR="00F26380" w:rsidRPr="00B55474" w:rsidRDefault="00F26380" w:rsidP="00241B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3048" w14:textId="77777777" w:rsidR="00F26380" w:rsidRPr="00B55474" w:rsidRDefault="00F26380" w:rsidP="00241BAB">
            <w:pPr>
              <w:tabs>
                <w:tab w:val="left" w:pos="1200"/>
                <w:tab w:val="left" w:pos="2520"/>
                <w:tab w:val="left" w:pos="2980"/>
              </w:tabs>
              <w:ind w:left="102" w:right="-20"/>
              <w:jc w:val="center"/>
              <w:rPr>
                <w:rFonts w:ascii="Arial" w:hAnsi="Arial" w:cs="Arial"/>
                <w:b/>
                <w:bCs/>
              </w:rPr>
            </w:pPr>
            <w:r w:rsidRPr="00B55474">
              <w:rPr>
                <w:rFonts w:ascii="Arial" w:hAnsi="Arial" w:cs="Arial"/>
                <w:b/>
                <w:bCs/>
                <w:spacing w:val="1"/>
              </w:rPr>
              <w:t>W</w:t>
            </w:r>
            <w:r w:rsidRPr="00B55474">
              <w:rPr>
                <w:rFonts w:ascii="Arial" w:hAnsi="Arial" w:cs="Arial"/>
                <w:b/>
                <w:bCs/>
              </w:rPr>
              <w:t>h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B55474">
              <w:rPr>
                <w:rFonts w:ascii="Arial" w:hAnsi="Arial" w:cs="Arial"/>
                <w:b/>
                <w:bCs/>
              </w:rPr>
              <w:t>ther</w:t>
            </w:r>
            <w:r w:rsidRPr="00B55474">
              <w:rPr>
                <w:rFonts w:ascii="Arial" w:hAnsi="Arial" w:cs="Arial"/>
                <w:b/>
                <w:bCs/>
              </w:rPr>
              <w:tab/>
              <w:t>Applic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B55474">
              <w:rPr>
                <w:rFonts w:ascii="Arial" w:hAnsi="Arial" w:cs="Arial"/>
                <w:b/>
                <w:bCs/>
              </w:rPr>
              <w:t>ble</w:t>
            </w:r>
            <w:r w:rsidRPr="00B55474">
              <w:rPr>
                <w:rFonts w:ascii="Arial" w:hAnsi="Arial" w:cs="Arial"/>
                <w:b/>
                <w:bCs/>
              </w:rPr>
              <w:tab/>
              <w:t>or</w:t>
            </w:r>
            <w:r w:rsidRPr="00B55474">
              <w:rPr>
                <w:rFonts w:ascii="Arial" w:hAnsi="Arial" w:cs="Arial"/>
                <w:b/>
                <w:bCs/>
              </w:rPr>
              <w:tab/>
              <w:t>not</w:t>
            </w:r>
          </w:p>
          <w:p w14:paraId="0B29F50E" w14:textId="77777777" w:rsidR="00F26380" w:rsidRPr="00B55474" w:rsidRDefault="00F26380" w:rsidP="00241BAB">
            <w:pPr>
              <w:ind w:left="102" w:right="-20"/>
              <w:jc w:val="center"/>
              <w:rPr>
                <w:rFonts w:ascii="Arial" w:hAnsi="Arial" w:cs="Arial"/>
                <w:b/>
                <w:bCs/>
              </w:rPr>
            </w:pPr>
            <w:r w:rsidRPr="00B55474">
              <w:rPr>
                <w:rFonts w:ascii="Arial" w:hAnsi="Arial" w:cs="Arial"/>
                <w:b/>
                <w:bCs/>
              </w:rPr>
              <w:t>(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Ye</w:t>
            </w:r>
            <w:r w:rsidRPr="00B55474">
              <w:rPr>
                <w:rFonts w:ascii="Arial" w:hAnsi="Arial" w:cs="Arial"/>
                <w:b/>
                <w:bCs/>
              </w:rPr>
              <w:t>s/No)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C4B8" w14:textId="77777777" w:rsidR="00F26380" w:rsidRPr="00B55474" w:rsidRDefault="00F26380" w:rsidP="00241BAB">
            <w:pPr>
              <w:ind w:left="102" w:right="-20"/>
              <w:jc w:val="center"/>
              <w:rPr>
                <w:rFonts w:ascii="Arial" w:hAnsi="Arial" w:cs="Arial"/>
                <w:b/>
                <w:bCs/>
              </w:rPr>
            </w:pPr>
            <w:r w:rsidRPr="00B55474">
              <w:rPr>
                <w:rFonts w:ascii="Arial" w:hAnsi="Arial" w:cs="Arial"/>
                <w:b/>
                <w:bCs/>
              </w:rPr>
              <w:t>R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B55474">
              <w:rPr>
                <w:rFonts w:ascii="Arial" w:hAnsi="Arial" w:cs="Arial"/>
                <w:b/>
                <w:bCs/>
              </w:rPr>
              <w:t>te</w:t>
            </w:r>
          </w:p>
          <w:p w14:paraId="2949AE3F" w14:textId="77777777" w:rsidR="00F26380" w:rsidRPr="00B55474" w:rsidRDefault="00F26380" w:rsidP="00241BAB">
            <w:pPr>
              <w:ind w:left="102" w:right="-20"/>
              <w:jc w:val="center"/>
              <w:rPr>
                <w:rFonts w:ascii="Arial" w:hAnsi="Arial" w:cs="Arial"/>
                <w:b/>
                <w:bCs/>
              </w:rPr>
            </w:pPr>
            <w:r w:rsidRPr="00B55474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B55474">
              <w:rPr>
                <w:rFonts w:ascii="Arial" w:hAnsi="Arial" w:cs="Arial"/>
                <w:b/>
                <w:bCs/>
              </w:rPr>
              <w:t>Rs./</w:t>
            </w:r>
            <w:proofErr w:type="gramEnd"/>
            <w:r w:rsidRPr="00B55474">
              <w:rPr>
                <w:rFonts w:ascii="Arial" w:hAnsi="Arial" w:cs="Arial"/>
                <w:b/>
                <w:bCs/>
              </w:rPr>
              <w:t>M</w:t>
            </w:r>
            <w:r w:rsidRPr="00B55474">
              <w:rPr>
                <w:rFonts w:ascii="Arial" w:hAnsi="Arial" w:cs="Arial"/>
                <w:b/>
                <w:bCs/>
                <w:spacing w:val="1"/>
              </w:rPr>
              <w:t>W</w:t>
            </w:r>
            <w:r w:rsidRPr="00B55474">
              <w:rPr>
                <w:rFonts w:ascii="Arial" w:hAnsi="Arial" w:cs="Arial"/>
                <w:b/>
                <w:bCs/>
              </w:rPr>
              <w:t>h)</w:t>
            </w:r>
          </w:p>
        </w:tc>
      </w:tr>
      <w:tr w:rsidR="00F26380" w:rsidRPr="0038524A" w14:paraId="7EC58914" w14:textId="77777777" w:rsidTr="00241BAB">
        <w:trPr>
          <w:trHeight w:val="2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C77C" w14:textId="77777777" w:rsidR="00F26380" w:rsidRPr="00B55474" w:rsidRDefault="00F26380" w:rsidP="00241BAB">
            <w:pPr>
              <w:ind w:left="102" w:right="-20"/>
              <w:rPr>
                <w:rFonts w:ascii="Arial" w:hAnsi="Arial" w:cs="Arial"/>
                <w:b/>
                <w:bCs/>
              </w:rPr>
            </w:pPr>
            <w:r w:rsidRPr="00B55474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B55474">
              <w:rPr>
                <w:rFonts w:ascii="Arial" w:hAnsi="Arial" w:cs="Arial"/>
                <w:b/>
                <w:bCs/>
              </w:rPr>
              <w:t>tate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B55474">
              <w:rPr>
                <w:rFonts w:ascii="Arial" w:hAnsi="Arial" w:cs="Arial"/>
                <w:b/>
                <w:bCs/>
              </w:rPr>
              <w:t>T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ra</w:t>
            </w:r>
            <w:r w:rsidRPr="00B55474">
              <w:rPr>
                <w:rFonts w:ascii="Arial" w:hAnsi="Arial" w:cs="Arial"/>
                <w:b/>
                <w:bCs/>
              </w:rPr>
              <w:t>nsm</w:t>
            </w:r>
            <w:r w:rsidRPr="00B5547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B55474">
              <w:rPr>
                <w:rFonts w:ascii="Arial" w:hAnsi="Arial" w:cs="Arial"/>
                <w:b/>
                <w:bCs/>
              </w:rPr>
              <w:t>ss</w:t>
            </w:r>
            <w:r w:rsidRPr="00B55474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B55474">
              <w:rPr>
                <w:rFonts w:ascii="Arial" w:hAnsi="Arial" w:cs="Arial"/>
                <w:b/>
                <w:bCs/>
              </w:rPr>
              <w:t>on loss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B55474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CBB9" w14:textId="77777777" w:rsidR="00F26380" w:rsidRPr="00B55474" w:rsidRDefault="00F26380" w:rsidP="00241B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2C5B" w14:textId="77777777" w:rsidR="00F26380" w:rsidRPr="00B55474" w:rsidRDefault="00F26380" w:rsidP="00241B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26380" w:rsidRPr="0038524A" w14:paraId="3C3BDE24" w14:textId="77777777" w:rsidTr="00241BAB">
        <w:trPr>
          <w:trHeight w:val="2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C55D" w14:textId="77777777" w:rsidR="00F26380" w:rsidRPr="00B55474" w:rsidRDefault="00F26380" w:rsidP="00241BAB">
            <w:pPr>
              <w:ind w:left="102" w:right="-20"/>
              <w:rPr>
                <w:rFonts w:ascii="Arial" w:hAnsi="Arial" w:cs="Arial"/>
                <w:b/>
                <w:bCs/>
              </w:rPr>
            </w:pPr>
            <w:r w:rsidRPr="00B55474">
              <w:rPr>
                <w:rFonts w:ascii="Arial" w:hAnsi="Arial" w:cs="Arial"/>
                <w:b/>
                <w:bCs/>
              </w:rPr>
              <w:t>A</w:t>
            </w:r>
            <w:r w:rsidRPr="00B55474">
              <w:rPr>
                <w:rFonts w:ascii="Arial" w:hAnsi="Arial" w:cs="Arial"/>
                <w:b/>
                <w:bCs/>
                <w:spacing w:val="2"/>
              </w:rPr>
              <w:t>n</w:t>
            </w:r>
            <w:r w:rsidRPr="00B55474">
              <w:rPr>
                <w:rFonts w:ascii="Arial" w:hAnsi="Arial" w:cs="Arial"/>
                <w:b/>
                <w:bCs/>
              </w:rPr>
              <w:t>y</w:t>
            </w:r>
            <w:r w:rsidRPr="00B55474">
              <w:rPr>
                <w:rFonts w:ascii="Arial" w:hAnsi="Arial" w:cs="Arial"/>
                <w:b/>
                <w:bCs/>
                <w:spacing w:val="-5"/>
              </w:rPr>
              <w:t xml:space="preserve"> </w:t>
            </w:r>
            <w:r w:rsidRPr="00B55474">
              <w:rPr>
                <w:rFonts w:ascii="Arial" w:hAnsi="Arial" w:cs="Arial"/>
                <w:b/>
                <w:bCs/>
              </w:rPr>
              <w:t>oth</w:t>
            </w:r>
            <w:r w:rsidRPr="00B55474">
              <w:rPr>
                <w:rFonts w:ascii="Arial" w:hAnsi="Arial" w:cs="Arial"/>
                <w:b/>
                <w:bCs/>
                <w:spacing w:val="2"/>
              </w:rPr>
              <w:t>e</w:t>
            </w:r>
            <w:r w:rsidRPr="00B55474">
              <w:rPr>
                <w:rFonts w:ascii="Arial" w:hAnsi="Arial" w:cs="Arial"/>
                <w:b/>
                <w:bCs/>
              </w:rPr>
              <w:t xml:space="preserve">r 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B55474">
              <w:rPr>
                <w:rFonts w:ascii="Arial" w:hAnsi="Arial" w:cs="Arial"/>
                <w:b/>
                <w:bCs/>
              </w:rPr>
              <w:t>h</w:t>
            </w:r>
            <w:r w:rsidRPr="00B55474">
              <w:rPr>
                <w:rFonts w:ascii="Arial" w:hAnsi="Arial" w:cs="Arial"/>
                <w:b/>
                <w:bCs/>
                <w:spacing w:val="1"/>
              </w:rPr>
              <w:t>ar</w:t>
            </w:r>
            <w:r w:rsidRPr="00B55474">
              <w:rPr>
                <w:rFonts w:ascii="Arial" w:hAnsi="Arial" w:cs="Arial"/>
                <w:b/>
                <w:bCs/>
                <w:spacing w:val="-2"/>
              </w:rPr>
              <w:t>g</w:t>
            </w:r>
            <w:r w:rsidRPr="00B55474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B55474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7FC9" w14:textId="77777777" w:rsidR="00F26380" w:rsidRPr="00B55474" w:rsidRDefault="00F26380" w:rsidP="00241B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3DBA" w14:textId="77777777" w:rsidR="00F26380" w:rsidRPr="00B55474" w:rsidRDefault="00F26380" w:rsidP="00241B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C5CF30" w14:textId="77777777" w:rsidR="00F26380" w:rsidRPr="00B55474" w:rsidRDefault="00F26380" w:rsidP="00F26380">
      <w:pPr>
        <w:spacing w:line="360" w:lineRule="auto"/>
        <w:rPr>
          <w:rFonts w:ascii="Arial" w:hAnsi="Arial" w:cs="Arial"/>
          <w:sz w:val="24"/>
          <w:szCs w:val="24"/>
        </w:rPr>
      </w:pPr>
    </w:p>
    <w:p w14:paraId="42AA428C" w14:textId="77777777" w:rsidR="00F26380" w:rsidRPr="00B55474" w:rsidRDefault="00F26380" w:rsidP="00F26380">
      <w:p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B55474">
        <w:rPr>
          <w:rFonts w:ascii="Arial" w:hAnsi="Arial" w:cs="Arial"/>
          <w:b/>
          <w:bCs/>
          <w:sz w:val="24"/>
          <w:szCs w:val="24"/>
        </w:rPr>
        <w:t>Declaration:</w:t>
      </w:r>
    </w:p>
    <w:p w14:paraId="18C7D419" w14:textId="77777777" w:rsidR="00F26380" w:rsidRPr="00B55474" w:rsidRDefault="00F26380" w:rsidP="00F2638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>It is hereby certified that:</w:t>
      </w:r>
    </w:p>
    <w:p w14:paraId="45207163" w14:textId="1BC7CBD0" w:rsidR="00F26380" w:rsidRPr="00B55474" w:rsidRDefault="00F26380" w:rsidP="00F26380">
      <w:pPr>
        <w:pStyle w:val="ListParagraph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 xml:space="preserve">We have “No Objection” to seeking and availing </w:t>
      </w:r>
      <w:r>
        <w:rPr>
          <w:rFonts w:ascii="Arial" w:hAnsi="Arial" w:cs="Arial"/>
          <w:sz w:val="24"/>
          <w:szCs w:val="24"/>
        </w:rPr>
        <w:t>GNA</w:t>
      </w:r>
      <w:r w:rsidR="00A47AE2">
        <w:rPr>
          <w:rFonts w:ascii="Arial" w:hAnsi="Arial" w:cs="Arial"/>
          <w:sz w:val="24"/>
          <w:szCs w:val="24"/>
        </w:rPr>
        <w:t>/GNA</w:t>
      </w:r>
      <w:r w:rsidR="00A47AE2" w:rsidRPr="0085228D">
        <w:rPr>
          <w:rFonts w:ascii="Arial" w:hAnsi="Arial" w:cs="Arial"/>
          <w:sz w:val="24"/>
          <w:szCs w:val="24"/>
          <w:vertAlign w:val="subscript"/>
        </w:rPr>
        <w:t>RE</w:t>
      </w:r>
      <w:r w:rsidR="005C7317" w:rsidRPr="00986F02">
        <w:rPr>
          <w:rFonts w:ascii="Arial" w:hAnsi="Arial" w:cs="Arial"/>
          <w:sz w:val="24"/>
          <w:szCs w:val="24"/>
          <w:vertAlign w:val="superscript"/>
        </w:rPr>
        <w:t>#</w:t>
      </w:r>
      <w:r w:rsidRPr="00B55474">
        <w:rPr>
          <w:rFonts w:ascii="Arial" w:hAnsi="Arial" w:cs="Arial"/>
          <w:sz w:val="24"/>
          <w:szCs w:val="24"/>
        </w:rPr>
        <w:t xml:space="preserve"> by &lt;&lt;Name of Entity&gt;&gt;, through ISTS </w:t>
      </w:r>
      <w:r w:rsidRPr="0080179C">
        <w:rPr>
          <w:rFonts w:ascii="Arial" w:hAnsi="Arial" w:cs="Arial"/>
          <w:sz w:val="24"/>
          <w:szCs w:val="24"/>
        </w:rPr>
        <w:t>up to</w:t>
      </w:r>
      <w:r w:rsidRPr="00B55474">
        <w:rPr>
          <w:rFonts w:ascii="Arial" w:hAnsi="Arial" w:cs="Arial"/>
          <w:sz w:val="24"/>
          <w:szCs w:val="24"/>
        </w:rPr>
        <w:t xml:space="preserve"> the MW ceiling as specified above, in accordance with applicable </w:t>
      </w:r>
      <w:r>
        <w:rPr>
          <w:rFonts w:ascii="Arial" w:hAnsi="Arial" w:cs="Arial"/>
          <w:sz w:val="24"/>
          <w:szCs w:val="24"/>
        </w:rPr>
        <w:t>R</w:t>
      </w:r>
      <w:r w:rsidRPr="00B55474">
        <w:rPr>
          <w:rFonts w:ascii="Arial" w:hAnsi="Arial" w:cs="Arial"/>
          <w:sz w:val="24"/>
          <w:szCs w:val="24"/>
        </w:rPr>
        <w:t>egulations of CERC/&lt;&lt;State&gt;&gt; ERC.</w:t>
      </w:r>
    </w:p>
    <w:p w14:paraId="08AAC68C" w14:textId="77777777" w:rsidR="00F26380" w:rsidRPr="00B55474" w:rsidRDefault="00F26380" w:rsidP="00F26380">
      <w:pPr>
        <w:pStyle w:val="ListParagraph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>We have the required infrastructure for energy metering and time block wise accounting in place. The State</w:t>
      </w:r>
      <w:r>
        <w:rPr>
          <w:rFonts w:ascii="Arial" w:hAnsi="Arial" w:cs="Arial"/>
          <w:sz w:val="24"/>
          <w:szCs w:val="24"/>
        </w:rPr>
        <w:t xml:space="preserve"> </w:t>
      </w:r>
      <w:r w:rsidRPr="00B55474">
        <w:rPr>
          <w:rFonts w:ascii="Arial" w:hAnsi="Arial" w:cs="Arial"/>
          <w:sz w:val="24"/>
          <w:szCs w:val="24"/>
        </w:rPr>
        <w:t xml:space="preserve">network has the required transfer capability for transfer </w:t>
      </w:r>
      <w:r w:rsidRPr="00B55474">
        <w:rPr>
          <w:rFonts w:ascii="Arial" w:hAnsi="Arial" w:cs="Arial"/>
          <w:sz w:val="24"/>
          <w:szCs w:val="24"/>
        </w:rPr>
        <w:lastRenderedPageBreak/>
        <w:t>of power as per specified ceiling.</w:t>
      </w:r>
    </w:p>
    <w:p w14:paraId="1A8FABB3" w14:textId="77777777" w:rsidR="00F26380" w:rsidRPr="00B55474" w:rsidRDefault="00F26380" w:rsidP="00F26380">
      <w:pPr>
        <w:pStyle w:val="ListParagraph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>The Transmission Charges for the use of State</w:t>
      </w:r>
      <w:r>
        <w:rPr>
          <w:rFonts w:ascii="Arial" w:hAnsi="Arial" w:cs="Arial"/>
          <w:sz w:val="24"/>
          <w:szCs w:val="24"/>
        </w:rPr>
        <w:t xml:space="preserve"> </w:t>
      </w:r>
      <w:r w:rsidRPr="00B55474">
        <w:rPr>
          <w:rFonts w:ascii="Arial" w:hAnsi="Arial" w:cs="Arial"/>
          <w:sz w:val="24"/>
          <w:szCs w:val="24"/>
        </w:rPr>
        <w:t xml:space="preserve">network and Operating Charges for the State Load Despatch </w:t>
      </w:r>
      <w:r w:rsidRPr="0080179C">
        <w:rPr>
          <w:rFonts w:ascii="Arial" w:hAnsi="Arial" w:cs="Arial"/>
          <w:sz w:val="24"/>
          <w:szCs w:val="24"/>
        </w:rPr>
        <w:t>Centres</w:t>
      </w:r>
      <w:r w:rsidRPr="00B55474">
        <w:rPr>
          <w:rFonts w:ascii="Arial" w:hAnsi="Arial" w:cs="Arial"/>
          <w:sz w:val="24"/>
          <w:szCs w:val="24"/>
        </w:rPr>
        <w:t xml:space="preserve"> shall be directly settled by Power Exchange with us.</w:t>
      </w:r>
    </w:p>
    <w:p w14:paraId="14BAA668" w14:textId="77777777" w:rsidR="00F26380" w:rsidRPr="00B55474" w:rsidRDefault="00F26380" w:rsidP="00F26380">
      <w:pPr>
        <w:pStyle w:val="ListParagraph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>The State Utility designated for the purpose of collection/disbursement of DSM charges shall be responsible for timely payment of State</w:t>
      </w:r>
      <w:r w:rsidRPr="00DE25D3">
        <w:rPr>
          <w:rFonts w:ascii="Arial" w:hAnsi="Arial" w:cs="Arial"/>
          <w:sz w:val="24"/>
          <w:szCs w:val="24"/>
        </w:rPr>
        <w:t>’</w:t>
      </w:r>
      <w:r w:rsidRPr="00B55474">
        <w:rPr>
          <w:rFonts w:ascii="Arial" w:hAnsi="Arial" w:cs="Arial"/>
          <w:sz w:val="24"/>
          <w:szCs w:val="24"/>
        </w:rPr>
        <w:t>s composite dues into the Regional Pool Account.</w:t>
      </w:r>
    </w:p>
    <w:p w14:paraId="578E95FB" w14:textId="77777777" w:rsidR="00F26380" w:rsidRPr="00B55474" w:rsidRDefault="00F26380" w:rsidP="00F26380">
      <w:pPr>
        <w:pStyle w:val="ListParagraph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 xml:space="preserve">Any mismatch between the Scheduled and Actual </w:t>
      </w:r>
      <w:proofErr w:type="spellStart"/>
      <w:r w:rsidRPr="00B55474">
        <w:rPr>
          <w:rFonts w:ascii="Arial" w:hAnsi="Arial" w:cs="Arial"/>
          <w:sz w:val="24"/>
          <w:szCs w:val="24"/>
        </w:rPr>
        <w:t>drawal</w:t>
      </w:r>
      <w:proofErr w:type="spellEnd"/>
      <w:r w:rsidRPr="00DE25D3">
        <w:rPr>
          <w:rFonts w:ascii="Arial" w:hAnsi="Arial" w:cs="Arial"/>
          <w:sz w:val="24"/>
          <w:szCs w:val="24"/>
        </w:rPr>
        <w:t xml:space="preserve"> </w:t>
      </w:r>
      <w:r w:rsidRPr="00B55474">
        <w:rPr>
          <w:rFonts w:ascii="Arial" w:hAnsi="Arial" w:cs="Arial"/>
          <w:sz w:val="24"/>
          <w:szCs w:val="24"/>
        </w:rPr>
        <w:t xml:space="preserve">for the </w:t>
      </w:r>
      <w:r w:rsidRPr="00DE25D3">
        <w:rPr>
          <w:rFonts w:ascii="Arial" w:hAnsi="Arial" w:cs="Arial"/>
          <w:sz w:val="24"/>
          <w:szCs w:val="24"/>
        </w:rPr>
        <w:t>I</w:t>
      </w:r>
      <w:r w:rsidRPr="00B55474">
        <w:rPr>
          <w:rFonts w:ascii="Arial" w:hAnsi="Arial" w:cs="Arial"/>
          <w:sz w:val="24"/>
          <w:szCs w:val="24"/>
        </w:rPr>
        <w:t xml:space="preserve">ntra-State Entity shall be determined by us and will be covered in the </w:t>
      </w:r>
      <w:r w:rsidRPr="00DE25D3">
        <w:rPr>
          <w:rFonts w:ascii="Arial" w:hAnsi="Arial" w:cs="Arial"/>
          <w:sz w:val="24"/>
          <w:szCs w:val="24"/>
        </w:rPr>
        <w:t>I</w:t>
      </w:r>
      <w:r w:rsidRPr="00B55474">
        <w:rPr>
          <w:rFonts w:ascii="Arial" w:hAnsi="Arial" w:cs="Arial"/>
          <w:sz w:val="24"/>
          <w:szCs w:val="24"/>
        </w:rPr>
        <w:t>ntra-State DSM accounting scheme, or as applicable.</w:t>
      </w:r>
    </w:p>
    <w:p w14:paraId="141CB2DA" w14:textId="77777777" w:rsidR="00F26380" w:rsidRPr="00B55474" w:rsidRDefault="00F26380" w:rsidP="00F26380">
      <w:pPr>
        <w:pStyle w:val="ListParagraph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>The Reactive Energy Charges shall be governed by the Regulations applicable within the State.</w:t>
      </w:r>
    </w:p>
    <w:p w14:paraId="2C06018E" w14:textId="77777777" w:rsidR="00F26380" w:rsidRPr="00B55474" w:rsidRDefault="00F26380" w:rsidP="00F26380">
      <w:pPr>
        <w:pStyle w:val="ListParagraph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>We shall disburse the Transmission Charges for use of the State</w:t>
      </w:r>
      <w:r w:rsidRPr="00DE25D3">
        <w:rPr>
          <w:rFonts w:ascii="Arial" w:hAnsi="Arial" w:cs="Arial"/>
          <w:sz w:val="24"/>
          <w:szCs w:val="24"/>
        </w:rPr>
        <w:t xml:space="preserve"> </w:t>
      </w:r>
      <w:r w:rsidRPr="00B55474">
        <w:rPr>
          <w:rFonts w:ascii="Arial" w:hAnsi="Arial" w:cs="Arial"/>
          <w:sz w:val="24"/>
          <w:szCs w:val="24"/>
        </w:rPr>
        <w:t xml:space="preserve">Network to the State Transmission </w:t>
      </w:r>
      <w:r w:rsidRPr="00DE25D3">
        <w:rPr>
          <w:rFonts w:ascii="Arial" w:hAnsi="Arial" w:cs="Arial"/>
          <w:sz w:val="24"/>
          <w:szCs w:val="24"/>
        </w:rPr>
        <w:t xml:space="preserve">Licensee(s) </w:t>
      </w:r>
      <w:r w:rsidRPr="00B55474">
        <w:rPr>
          <w:rFonts w:ascii="Arial" w:hAnsi="Arial" w:cs="Arial"/>
          <w:sz w:val="24"/>
          <w:szCs w:val="24"/>
        </w:rPr>
        <w:t>directly.</w:t>
      </w:r>
    </w:p>
    <w:p w14:paraId="7D766C70" w14:textId="77777777" w:rsidR="00F26380" w:rsidRPr="00B55474" w:rsidRDefault="00F26380" w:rsidP="00F26380">
      <w:pPr>
        <w:pStyle w:val="ListParagraph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 xml:space="preserve">We shall inform the total import and export capability of the State </w:t>
      </w:r>
      <w:proofErr w:type="gramStart"/>
      <w:r w:rsidRPr="00B55474">
        <w:rPr>
          <w:rFonts w:ascii="Arial" w:hAnsi="Arial" w:cs="Arial"/>
          <w:sz w:val="24"/>
          <w:szCs w:val="24"/>
        </w:rPr>
        <w:t>as a whole to</w:t>
      </w:r>
      <w:proofErr w:type="gramEnd"/>
      <w:r w:rsidRPr="00B55474">
        <w:rPr>
          <w:rFonts w:ascii="Arial" w:hAnsi="Arial" w:cs="Arial"/>
          <w:sz w:val="24"/>
          <w:szCs w:val="24"/>
        </w:rPr>
        <w:t xml:space="preserve"> all concerned. Attempt shall be made to declare this in advance through our website.</w:t>
      </w:r>
    </w:p>
    <w:p w14:paraId="432B0C4F" w14:textId="77777777" w:rsidR="00F26380" w:rsidRPr="00B55474" w:rsidRDefault="00F26380" w:rsidP="00F26380">
      <w:pPr>
        <w:pStyle w:val="ListParagraph"/>
        <w:numPr>
          <w:ilvl w:val="0"/>
          <w:numId w:val="2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B55474">
        <w:rPr>
          <w:rFonts w:ascii="Arial" w:hAnsi="Arial" w:cs="Arial"/>
          <w:sz w:val="24"/>
          <w:szCs w:val="24"/>
        </w:rPr>
        <w:t>Any change in the contents of the NOC shall be conveyed to the party to whom NOC was given, at</w:t>
      </w:r>
      <w:r>
        <w:rPr>
          <w:rFonts w:ascii="Arial" w:hAnsi="Arial" w:cs="Arial"/>
          <w:sz w:val="24"/>
          <w:szCs w:val="24"/>
        </w:rPr>
        <w:t xml:space="preserve"> </w:t>
      </w:r>
      <w:r w:rsidRPr="00B55474">
        <w:rPr>
          <w:rFonts w:ascii="Arial" w:hAnsi="Arial" w:cs="Arial"/>
          <w:sz w:val="24"/>
          <w:szCs w:val="24"/>
        </w:rPr>
        <w:t>least 180 days prior to the day of transaction. In such cases, the RLDC(s)/NLDC shall also be informed simultaneously.</w:t>
      </w:r>
    </w:p>
    <w:p w14:paraId="658403D8" w14:textId="77777777" w:rsidR="00F26380" w:rsidRPr="00B55474" w:rsidRDefault="00F26380" w:rsidP="00F26380">
      <w:pPr>
        <w:spacing w:line="360" w:lineRule="auto"/>
        <w:rPr>
          <w:rFonts w:ascii="Arial" w:hAnsi="Arial" w:cs="Arial"/>
          <w:sz w:val="24"/>
          <w:szCs w:val="24"/>
        </w:rPr>
      </w:pPr>
    </w:p>
    <w:p w14:paraId="14946ACF" w14:textId="77777777" w:rsidR="00F26380" w:rsidRDefault="00F26380" w:rsidP="00F26380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&lt;&lt; </w:t>
      </w:r>
      <w:r w:rsidRPr="00B55474">
        <w:rPr>
          <w:rFonts w:ascii="Arial" w:hAnsi="Arial" w:cs="Arial"/>
          <w:sz w:val="24"/>
          <w:szCs w:val="24"/>
        </w:rPr>
        <w:t xml:space="preserve">Signature </w:t>
      </w:r>
      <w:r>
        <w:rPr>
          <w:rFonts w:ascii="Arial" w:hAnsi="Arial" w:cs="Arial"/>
          <w:sz w:val="24"/>
          <w:szCs w:val="24"/>
        </w:rPr>
        <w:t>&gt;&gt;</w:t>
      </w:r>
    </w:p>
    <w:p w14:paraId="1CD24BE9" w14:textId="77777777" w:rsidR="00F26380" w:rsidRDefault="00F26380" w:rsidP="00F2638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EB5502">
        <w:rPr>
          <w:rFonts w:ascii="Arial" w:hAnsi="Arial" w:cs="Arial"/>
          <w:b/>
          <w:bCs/>
          <w:sz w:val="24"/>
          <w:szCs w:val="24"/>
        </w:rPr>
        <w:t>Name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AB6F2C6" w14:textId="77777777" w:rsidR="00F26380" w:rsidRDefault="00F26380" w:rsidP="00F2638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EB5502">
        <w:rPr>
          <w:rFonts w:ascii="Arial" w:hAnsi="Arial" w:cs="Arial"/>
          <w:b/>
          <w:bCs/>
          <w:sz w:val="24"/>
          <w:szCs w:val="24"/>
        </w:rPr>
        <w:t>Designation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B5502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of </w:t>
      </w:r>
      <w:r w:rsidRPr="00EB5502">
        <w:rPr>
          <w:rFonts w:ascii="Arial" w:hAnsi="Arial" w:cs="Arial"/>
          <w:b/>
          <w:bCs/>
          <w:sz w:val="24"/>
          <w:szCs w:val="24"/>
        </w:rPr>
        <w:t>authorized signatory of STU)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78C7A8E" w14:textId="77777777" w:rsidR="00F26380" w:rsidRPr="00EB5502" w:rsidRDefault="00F26380" w:rsidP="00F2638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EB5502">
        <w:rPr>
          <w:rFonts w:ascii="Arial" w:hAnsi="Arial" w:cs="Arial"/>
          <w:b/>
          <w:bCs/>
          <w:sz w:val="24"/>
          <w:szCs w:val="24"/>
        </w:rPr>
        <w:t>Place: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46979E" w14:textId="77777777" w:rsidR="00F26380" w:rsidRDefault="00F26380" w:rsidP="00F2638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EB5502">
        <w:rPr>
          <w:rFonts w:ascii="Arial" w:hAnsi="Arial" w:cs="Arial"/>
          <w:b/>
          <w:bCs/>
          <w:sz w:val="24"/>
          <w:szCs w:val="24"/>
        </w:rPr>
        <w:t>Date: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334FCF" w14:textId="77777777" w:rsidR="00F26380" w:rsidRDefault="00F26380" w:rsidP="00F2638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EB5502">
        <w:rPr>
          <w:rFonts w:ascii="Arial" w:hAnsi="Arial" w:cs="Arial"/>
          <w:b/>
          <w:bCs/>
          <w:sz w:val="24"/>
          <w:szCs w:val="24"/>
        </w:rPr>
        <w:t>Phone</w:t>
      </w:r>
      <w:r>
        <w:rPr>
          <w:rFonts w:ascii="Arial" w:hAnsi="Arial" w:cs="Arial"/>
          <w:b/>
          <w:bCs/>
          <w:sz w:val="24"/>
          <w:szCs w:val="24"/>
        </w:rPr>
        <w:t>/Mobile</w:t>
      </w:r>
      <w:r w:rsidRPr="00EB5502">
        <w:rPr>
          <w:rFonts w:ascii="Arial" w:hAnsi="Arial" w:cs="Arial"/>
          <w:b/>
          <w:bCs/>
          <w:sz w:val="24"/>
          <w:szCs w:val="24"/>
        </w:rPr>
        <w:t xml:space="preserve"> No.: </w:t>
      </w:r>
    </w:p>
    <w:p w14:paraId="49896FA5" w14:textId="77777777" w:rsidR="00F26380" w:rsidRDefault="00F26380" w:rsidP="00F2638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*Email id:</w:t>
      </w:r>
      <w:r w:rsidRPr="008F210D">
        <w:rPr>
          <w:rFonts w:ascii="Arial" w:hAnsi="Arial" w:cs="Arial"/>
          <w:sz w:val="24"/>
          <w:szCs w:val="24"/>
        </w:rPr>
        <w:t xml:space="preserve"> </w:t>
      </w:r>
    </w:p>
    <w:p w14:paraId="57A5D91C" w14:textId="77777777" w:rsidR="000C0A2F" w:rsidRDefault="000C0A2F" w:rsidP="000C0A2F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691751" w14:textId="3C59AF46" w:rsidR="006E0D6D" w:rsidRDefault="00F26380" w:rsidP="000C0A2F">
      <w:pPr>
        <w:rPr>
          <w:rFonts w:ascii="Arial" w:hAnsi="Arial" w:cs="Arial"/>
          <w:i/>
          <w:iCs/>
          <w:sz w:val="20"/>
          <w:szCs w:val="20"/>
        </w:rPr>
      </w:pPr>
      <w:r w:rsidRPr="00EB5502">
        <w:rPr>
          <w:rFonts w:ascii="Arial" w:hAnsi="Arial" w:cs="Arial"/>
          <w:b/>
          <w:bCs/>
          <w:i/>
          <w:iCs/>
          <w:sz w:val="20"/>
          <w:szCs w:val="20"/>
        </w:rPr>
        <w:t>Note:</w:t>
      </w:r>
      <w:r w:rsidRPr="00EB5502">
        <w:rPr>
          <w:rFonts w:ascii="Arial" w:hAnsi="Arial" w:cs="Arial"/>
          <w:i/>
          <w:iCs/>
          <w:sz w:val="20"/>
          <w:szCs w:val="20"/>
        </w:rPr>
        <w:t xml:space="preserve"> *</w:t>
      </w:r>
      <w:r w:rsidR="000C0A2F">
        <w:rPr>
          <w:rFonts w:ascii="Arial" w:hAnsi="Arial" w:cs="Arial"/>
          <w:i/>
          <w:iCs/>
          <w:sz w:val="20"/>
          <w:szCs w:val="20"/>
        </w:rPr>
        <w:t xml:space="preserve"> </w:t>
      </w:r>
      <w:r w:rsidRPr="00EB5502">
        <w:rPr>
          <w:rFonts w:ascii="Arial" w:hAnsi="Arial" w:cs="Arial"/>
          <w:i/>
          <w:iCs/>
          <w:sz w:val="20"/>
          <w:szCs w:val="20"/>
        </w:rPr>
        <w:t>Mandatory</w:t>
      </w:r>
    </w:p>
    <w:p w14:paraId="33B30A8C" w14:textId="5072DD7A" w:rsidR="005C7317" w:rsidRPr="00D940F5" w:rsidRDefault="005C7317" w:rsidP="000C0A2F">
      <w:p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0"/>
          <w:szCs w:val="20"/>
        </w:rPr>
        <w:t xml:space="preserve"># </w:t>
      </w:r>
      <w:r w:rsidR="000C0A2F">
        <w:rPr>
          <w:rFonts w:ascii="Arial" w:hAnsi="Arial" w:cs="Arial"/>
          <w:i/>
          <w:iCs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trike out whichever is not applicable</w:t>
      </w:r>
    </w:p>
    <w:sectPr w:rsidR="005C7317" w:rsidRPr="00D940F5" w:rsidSect="0083256E">
      <w:pgSz w:w="11906" w:h="16838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16F83"/>
    <w:multiLevelType w:val="hybridMultilevel"/>
    <w:tmpl w:val="9B8AAE28"/>
    <w:lvl w:ilvl="0" w:tplc="83C82E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10173D"/>
    <w:multiLevelType w:val="hybridMultilevel"/>
    <w:tmpl w:val="A2D08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B1AAF"/>
    <w:multiLevelType w:val="hybridMultilevel"/>
    <w:tmpl w:val="A2D08B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EA0BA8"/>
    <w:multiLevelType w:val="hybridMultilevel"/>
    <w:tmpl w:val="9B8AAE28"/>
    <w:lvl w:ilvl="0" w:tplc="83C82E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0242098">
    <w:abstractNumId w:val="0"/>
  </w:num>
  <w:num w:numId="2" w16cid:durableId="419717472">
    <w:abstractNumId w:val="2"/>
  </w:num>
  <w:num w:numId="3" w16cid:durableId="1495760665">
    <w:abstractNumId w:val="3"/>
  </w:num>
  <w:num w:numId="4" w16cid:durableId="6056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80"/>
    <w:rsid w:val="00071EF1"/>
    <w:rsid w:val="000C0A2F"/>
    <w:rsid w:val="005C7317"/>
    <w:rsid w:val="006E0D6D"/>
    <w:rsid w:val="007B15E1"/>
    <w:rsid w:val="0083256E"/>
    <w:rsid w:val="0085228D"/>
    <w:rsid w:val="00A47AE2"/>
    <w:rsid w:val="00C56734"/>
    <w:rsid w:val="00D940F5"/>
    <w:rsid w:val="00F2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20F1"/>
  <w15:chartTrackingRefBased/>
  <w15:docId w15:val="{FC8777F7-93A7-47E1-9E06-ED973412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63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t"/>
    <w:basedOn w:val="Normal"/>
    <w:link w:val="ListParagraphChar"/>
    <w:uiPriority w:val="34"/>
    <w:qFormat/>
    <w:rsid w:val="00F26380"/>
    <w:pPr>
      <w:ind w:left="1180" w:hanging="720"/>
      <w:jc w:val="both"/>
    </w:p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locked/>
    <w:rsid w:val="00F26380"/>
    <w:rPr>
      <w:rFonts w:ascii="Times New Roman" w:eastAsia="Times New Roman" w:hAnsi="Times New Roman" w:cs="Times New Roman"/>
      <w:kern w:val="0"/>
      <w:lang w:val="en-IN"/>
      <w14:ligatures w14:val="none"/>
    </w:rPr>
  </w:style>
  <w:style w:type="paragraph" w:styleId="Revision">
    <w:name w:val="Revision"/>
    <w:hidden/>
    <w:uiPriority w:val="99"/>
    <w:semiHidden/>
    <w:rsid w:val="00C56734"/>
    <w:pPr>
      <w:spacing w:after="0" w:line="240" w:lineRule="auto"/>
    </w:pPr>
    <w:rPr>
      <w:rFonts w:ascii="Times New Roman" w:eastAsia="Times New Roman" w:hAnsi="Times New Roman" w:cs="Times New Roman"/>
      <w:kern w:val="0"/>
      <w:lang w:val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 Fahad {एस एम फहद}</dc:creator>
  <cp:keywords/>
  <dc:description/>
  <cp:lastModifiedBy>S M Fahad {एस एम फहद}</cp:lastModifiedBy>
  <cp:revision>5</cp:revision>
  <dcterms:created xsi:type="dcterms:W3CDTF">2023-12-20T13:01:00Z</dcterms:created>
  <dcterms:modified xsi:type="dcterms:W3CDTF">2024-01-11T05:50:00Z</dcterms:modified>
</cp:coreProperties>
</file>